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</w:p>
    <w:p w:rsidR="00042D7E" w:rsidRDefault="00042D7E" w:rsidP="00D44B20">
      <w:pPr>
        <w:pStyle w:val="a5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44B20">
        <w:rPr>
          <w:b/>
          <w:szCs w:val="28"/>
        </w:rPr>
        <w:t xml:space="preserve"> </w:t>
      </w:r>
    </w:p>
    <w:p w:rsidR="00042D7E" w:rsidRPr="000B718A" w:rsidRDefault="00042D7E" w:rsidP="00D44B20">
      <w:pPr>
        <w:pStyle w:val="a5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42D7E" w:rsidRDefault="00042D7E" w:rsidP="00D44B20">
      <w:pPr>
        <w:pStyle w:val="1"/>
        <w:rPr>
          <w:sz w:val="28"/>
          <w:szCs w:val="28"/>
        </w:rPr>
      </w:pPr>
    </w:p>
    <w:p w:rsidR="00042D7E" w:rsidRDefault="00042D7E" w:rsidP="00D44B20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C42B7D" w:rsidRPr="00C42B7D" w:rsidRDefault="00C42B7D" w:rsidP="00C42B7D">
      <w:pPr>
        <w:rPr>
          <w:lang w:eastAsia="ru-RU"/>
        </w:rPr>
      </w:pPr>
    </w:p>
    <w:p w:rsidR="00042D7E" w:rsidRPr="00712513" w:rsidRDefault="00FE4115" w:rsidP="004C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D3C3B">
        <w:rPr>
          <w:sz w:val="28"/>
          <w:szCs w:val="28"/>
        </w:rPr>
        <w:t>.06.2021</w:t>
      </w:r>
      <w:r w:rsidR="00A3616D">
        <w:rPr>
          <w:sz w:val="28"/>
          <w:szCs w:val="28"/>
        </w:rPr>
        <w:t xml:space="preserve">               </w:t>
      </w:r>
      <w:r w:rsidR="00C66B07">
        <w:rPr>
          <w:sz w:val="28"/>
          <w:szCs w:val="28"/>
        </w:rPr>
        <w:t xml:space="preserve">  </w:t>
      </w:r>
      <w:r w:rsidR="00FC75D8">
        <w:rPr>
          <w:sz w:val="28"/>
          <w:szCs w:val="28"/>
        </w:rPr>
        <w:t xml:space="preserve"> </w:t>
      </w:r>
      <w:proofErr w:type="spellStart"/>
      <w:r w:rsidR="00C66B07">
        <w:rPr>
          <w:sz w:val="28"/>
          <w:szCs w:val="28"/>
        </w:rPr>
        <w:t>с</w:t>
      </w:r>
      <w:proofErr w:type="gramStart"/>
      <w:r w:rsidR="0099157C">
        <w:rPr>
          <w:sz w:val="28"/>
          <w:szCs w:val="28"/>
        </w:rPr>
        <w:t>.И</w:t>
      </w:r>
      <w:proofErr w:type="gramEnd"/>
      <w:r w:rsidR="0099157C">
        <w:rPr>
          <w:sz w:val="28"/>
          <w:szCs w:val="28"/>
        </w:rPr>
        <w:t>мисское</w:t>
      </w:r>
      <w:proofErr w:type="spellEnd"/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  <w:t xml:space="preserve"> </w:t>
      </w:r>
      <w:r w:rsidR="0099157C">
        <w:rPr>
          <w:sz w:val="28"/>
          <w:szCs w:val="28"/>
        </w:rPr>
        <w:t>№</w:t>
      </w:r>
      <w:r w:rsidR="00155345">
        <w:rPr>
          <w:sz w:val="28"/>
          <w:szCs w:val="28"/>
        </w:rPr>
        <w:t xml:space="preserve"> 16</w:t>
      </w:r>
      <w:r w:rsidR="00C66B07">
        <w:rPr>
          <w:sz w:val="28"/>
          <w:szCs w:val="28"/>
        </w:rPr>
        <w:t>-п</w:t>
      </w:r>
    </w:p>
    <w:p w:rsidR="00C42E4D" w:rsidRDefault="00C42E4D" w:rsidP="00042D7E">
      <w:pPr>
        <w:ind w:firstLine="709"/>
      </w:pPr>
    </w:p>
    <w:p w:rsidR="00C42E4D" w:rsidRDefault="00C42E4D" w:rsidP="00042D7E">
      <w:pPr>
        <w:ind w:firstLine="709"/>
      </w:pPr>
    </w:p>
    <w:p w:rsidR="00C42E4D" w:rsidRPr="00A3616D" w:rsidRDefault="00C42E4D" w:rsidP="00A3616D">
      <w:pPr>
        <w:pStyle w:val="Style6"/>
        <w:widowControl/>
        <w:spacing w:before="144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 xml:space="preserve">Об </w:t>
      </w:r>
      <w:r w:rsidR="005F02DD" w:rsidRPr="00A3616D">
        <w:rPr>
          <w:rStyle w:val="FontStyle12"/>
          <w:rFonts w:ascii="Arial" w:hAnsi="Arial" w:cs="Arial"/>
          <w:sz w:val="24"/>
          <w:szCs w:val="24"/>
        </w:rPr>
        <w:t>актуализации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Схемы теплоснабжения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A3616D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A3616D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="004C6008"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Кура</w:t>
      </w:r>
      <w:r w:rsidR="00BD3C3B" w:rsidRPr="00A3616D">
        <w:rPr>
          <w:rStyle w:val="FontStyle12"/>
          <w:rFonts w:ascii="Arial" w:hAnsi="Arial" w:cs="Arial"/>
          <w:sz w:val="24"/>
          <w:szCs w:val="24"/>
        </w:rPr>
        <w:t>гинского</w:t>
      </w:r>
      <w:proofErr w:type="spellEnd"/>
      <w:r w:rsidR="00BD3C3B" w:rsidRPr="00A3616D">
        <w:rPr>
          <w:rStyle w:val="FontStyle12"/>
          <w:rFonts w:ascii="Arial" w:hAnsi="Arial" w:cs="Arial"/>
          <w:sz w:val="24"/>
          <w:szCs w:val="24"/>
        </w:rPr>
        <w:t xml:space="preserve"> района на период с 2021</w:t>
      </w:r>
      <w:r w:rsidR="004E69BE" w:rsidRPr="00A3616D">
        <w:rPr>
          <w:rStyle w:val="FontStyle12"/>
          <w:rFonts w:ascii="Arial" w:hAnsi="Arial" w:cs="Arial"/>
          <w:sz w:val="24"/>
          <w:szCs w:val="24"/>
        </w:rPr>
        <w:t xml:space="preserve"> по 2031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годы</w:t>
      </w:r>
    </w:p>
    <w:p w:rsidR="00C42E4D" w:rsidRPr="00A3616D" w:rsidRDefault="00C42E4D" w:rsidP="00A3616D">
      <w:pPr>
        <w:pStyle w:val="Style7"/>
        <w:widowControl/>
        <w:spacing w:line="240" w:lineRule="auto"/>
        <w:ind w:firstLine="709"/>
        <w:rPr>
          <w:rFonts w:ascii="Arial" w:hAnsi="Arial" w:cs="Arial"/>
        </w:rPr>
      </w:pPr>
    </w:p>
    <w:p w:rsidR="00042D7E" w:rsidRPr="00A3616D" w:rsidRDefault="00042D7E" w:rsidP="00A3616D">
      <w:pPr>
        <w:pStyle w:val="Style7"/>
        <w:widowControl/>
        <w:spacing w:line="240" w:lineRule="auto"/>
        <w:ind w:firstLine="709"/>
        <w:rPr>
          <w:rFonts w:ascii="Arial" w:hAnsi="Arial" w:cs="Arial"/>
        </w:rPr>
      </w:pPr>
    </w:p>
    <w:p w:rsidR="00C42E4D" w:rsidRPr="00A3616D" w:rsidRDefault="00C42E4D" w:rsidP="00A3616D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rFonts w:ascii="Arial" w:hAnsi="Arial" w:cs="Arial"/>
          <w:sz w:val="24"/>
          <w:szCs w:val="24"/>
          <w:vertAlign w:val="superscript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>В соответствии с Постановлением Правительства Российской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A3616D">
        <w:rPr>
          <w:rStyle w:val="FontStyle12"/>
          <w:rFonts w:ascii="Arial" w:hAnsi="Arial" w:cs="Arial"/>
          <w:sz w:val="24"/>
          <w:szCs w:val="24"/>
        </w:rPr>
        <w:t>Федерации от 22.02.2012 №154 «О требованиях к схемам теплоснабжения,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порядку их разработки и утверждения», Уставом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Имисского</w:t>
      </w:r>
      <w:proofErr w:type="spellEnd"/>
      <w:r w:rsidRPr="00A3616D">
        <w:rPr>
          <w:rStyle w:val="FontStyle12"/>
          <w:rFonts w:ascii="Arial" w:hAnsi="Arial" w:cs="Arial"/>
          <w:sz w:val="24"/>
          <w:szCs w:val="24"/>
        </w:rPr>
        <w:t xml:space="preserve"> сельсовета,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A3616D">
        <w:rPr>
          <w:rStyle w:val="FontStyle11"/>
          <w:rFonts w:ascii="Arial" w:hAnsi="Arial" w:cs="Arial"/>
          <w:sz w:val="24"/>
          <w:szCs w:val="24"/>
        </w:rPr>
        <w:t>ПОСТАНОВЛЯЮ:</w:t>
      </w:r>
      <w:r w:rsidRPr="00A3616D">
        <w:rPr>
          <w:rStyle w:val="FontStyle11"/>
          <w:rFonts w:ascii="Arial" w:hAnsi="Arial" w:cs="Arial"/>
          <w:sz w:val="24"/>
          <w:szCs w:val="24"/>
        </w:rPr>
        <w:tab/>
      </w:r>
    </w:p>
    <w:p w:rsidR="00C42E4D" w:rsidRPr="00A3616D" w:rsidRDefault="00C42E4D" w:rsidP="00A3616D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 xml:space="preserve">1.Утвердить Схемы теплоснабжения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A3616D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A3616D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Курагинского</w:t>
      </w:r>
      <w:proofErr w:type="spellEnd"/>
      <w:r w:rsidRPr="00A3616D">
        <w:rPr>
          <w:rStyle w:val="FontStyle12"/>
          <w:rFonts w:ascii="Arial" w:hAnsi="Arial" w:cs="Arial"/>
          <w:sz w:val="24"/>
          <w:szCs w:val="24"/>
        </w:rPr>
        <w:t xml:space="preserve"> района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7251BD" w:rsidRPr="00A3616D">
        <w:rPr>
          <w:rStyle w:val="FontStyle12"/>
          <w:rFonts w:ascii="Arial" w:hAnsi="Arial" w:cs="Arial"/>
          <w:sz w:val="24"/>
          <w:szCs w:val="24"/>
        </w:rPr>
        <w:t>на период с 2021 по 2031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годы согласно приложению.</w:t>
      </w:r>
    </w:p>
    <w:p w:rsidR="003C7BD2" w:rsidRPr="00A3616D" w:rsidRDefault="003C7BD2" w:rsidP="00A3616D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 xml:space="preserve">2. Отменить действие постановления администрации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Имисского</w:t>
      </w:r>
      <w:proofErr w:type="spellEnd"/>
      <w:r w:rsidRPr="00A3616D">
        <w:rPr>
          <w:rStyle w:val="FontStyle12"/>
          <w:rFonts w:ascii="Arial" w:hAnsi="Arial" w:cs="Arial"/>
          <w:sz w:val="24"/>
          <w:szCs w:val="24"/>
        </w:rPr>
        <w:t xml:space="preserve"> сельсовета от </w:t>
      </w:r>
      <w:r w:rsidR="004E69BE" w:rsidRPr="00A3616D">
        <w:rPr>
          <w:rStyle w:val="FontStyle12"/>
          <w:rFonts w:ascii="Arial" w:hAnsi="Arial" w:cs="Arial"/>
          <w:sz w:val="24"/>
          <w:szCs w:val="24"/>
        </w:rPr>
        <w:t>15</w:t>
      </w:r>
      <w:r w:rsidRPr="00A3616D">
        <w:rPr>
          <w:rStyle w:val="FontStyle12"/>
          <w:rFonts w:ascii="Arial" w:hAnsi="Arial" w:cs="Arial"/>
          <w:sz w:val="24"/>
          <w:szCs w:val="24"/>
        </w:rPr>
        <w:t>.0</w:t>
      </w:r>
      <w:r w:rsidR="004E69BE" w:rsidRPr="00A3616D">
        <w:rPr>
          <w:rStyle w:val="FontStyle12"/>
          <w:rFonts w:ascii="Arial" w:hAnsi="Arial" w:cs="Arial"/>
          <w:sz w:val="24"/>
          <w:szCs w:val="24"/>
        </w:rPr>
        <w:t>6.2020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№</w:t>
      </w:r>
      <w:r w:rsidR="004E69BE" w:rsidRPr="00A3616D">
        <w:rPr>
          <w:rStyle w:val="FontStyle12"/>
          <w:rFonts w:ascii="Arial" w:hAnsi="Arial" w:cs="Arial"/>
          <w:sz w:val="24"/>
          <w:szCs w:val="24"/>
        </w:rPr>
        <w:t>16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-п «Об утверждении Схемы теплоснабжения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A3616D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A3616D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Pr="00A3616D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A3616D">
        <w:rPr>
          <w:rStyle w:val="FontStyle12"/>
          <w:rFonts w:ascii="Arial" w:hAnsi="Arial" w:cs="Arial"/>
          <w:sz w:val="24"/>
          <w:szCs w:val="24"/>
        </w:rPr>
        <w:t>Кура</w:t>
      </w:r>
      <w:r w:rsidR="004E69BE" w:rsidRPr="00A3616D">
        <w:rPr>
          <w:rStyle w:val="FontStyle12"/>
          <w:rFonts w:ascii="Arial" w:hAnsi="Arial" w:cs="Arial"/>
          <w:sz w:val="24"/>
          <w:szCs w:val="24"/>
        </w:rPr>
        <w:t>гинского</w:t>
      </w:r>
      <w:proofErr w:type="spellEnd"/>
      <w:r w:rsidR="004E69BE" w:rsidRPr="00A3616D">
        <w:rPr>
          <w:rStyle w:val="FontStyle12"/>
          <w:rFonts w:ascii="Arial" w:hAnsi="Arial" w:cs="Arial"/>
          <w:sz w:val="24"/>
          <w:szCs w:val="24"/>
        </w:rPr>
        <w:t xml:space="preserve"> района на период с 2020 по 2030</w:t>
      </w:r>
      <w:r w:rsidRPr="00A3616D">
        <w:rPr>
          <w:rStyle w:val="FontStyle12"/>
          <w:rFonts w:ascii="Arial" w:hAnsi="Arial" w:cs="Arial"/>
          <w:sz w:val="24"/>
          <w:szCs w:val="24"/>
        </w:rPr>
        <w:t xml:space="preserve"> годы» как утратившего силу.</w:t>
      </w:r>
    </w:p>
    <w:p w:rsidR="00C42E4D" w:rsidRPr="00A3616D" w:rsidRDefault="003C7BD2" w:rsidP="00A3616D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>3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C42E4D" w:rsidRPr="00A3616D">
        <w:rPr>
          <w:rStyle w:val="FontStyle12"/>
          <w:rFonts w:ascii="Arial" w:hAnsi="Arial" w:cs="Arial"/>
          <w:sz w:val="24"/>
          <w:szCs w:val="24"/>
        </w:rPr>
        <w:t xml:space="preserve">Определить единой организацией в сфере теплоснабжения </w:t>
      </w:r>
      <w:r w:rsidR="00C42E4D" w:rsidRPr="00A3616D">
        <w:rPr>
          <w:rStyle w:val="FontStyle13"/>
          <w:rFonts w:ascii="Arial" w:hAnsi="Arial" w:cs="Arial"/>
          <w:sz w:val="24"/>
          <w:szCs w:val="24"/>
        </w:rPr>
        <w:t xml:space="preserve">в </w:t>
      </w:r>
      <w:r w:rsidR="00C42E4D" w:rsidRPr="00A3616D">
        <w:rPr>
          <w:rStyle w:val="FontStyle12"/>
          <w:rFonts w:ascii="Arial" w:hAnsi="Arial" w:cs="Arial"/>
          <w:sz w:val="24"/>
          <w:szCs w:val="24"/>
        </w:rPr>
        <w:t xml:space="preserve">границах муниципального образования </w:t>
      </w:r>
      <w:proofErr w:type="spellStart"/>
      <w:r w:rsidR="00C42E4D" w:rsidRPr="00A3616D">
        <w:rPr>
          <w:rStyle w:val="FontStyle12"/>
          <w:rFonts w:ascii="Arial" w:hAnsi="Arial" w:cs="Arial"/>
          <w:sz w:val="24"/>
          <w:szCs w:val="24"/>
        </w:rPr>
        <w:t>Имисский</w:t>
      </w:r>
      <w:proofErr w:type="spellEnd"/>
      <w:r w:rsidR="00C42E4D" w:rsidRPr="00A3616D">
        <w:rPr>
          <w:rStyle w:val="FontStyle12"/>
          <w:rFonts w:ascii="Arial" w:hAnsi="Arial" w:cs="Arial"/>
          <w:sz w:val="24"/>
          <w:szCs w:val="24"/>
        </w:rPr>
        <w:t xml:space="preserve"> сельсовет </w:t>
      </w:r>
      <w:r w:rsidR="00042D7E" w:rsidRPr="00A3616D">
        <w:rPr>
          <w:rFonts w:ascii="Arial" w:hAnsi="Arial" w:cs="Arial"/>
        </w:rPr>
        <w:t xml:space="preserve">ООО </w:t>
      </w:r>
      <w:r w:rsidR="008C14AF" w:rsidRPr="00A3616D">
        <w:rPr>
          <w:rFonts w:ascii="Arial" w:hAnsi="Arial" w:cs="Arial"/>
          <w:color w:val="00000A"/>
        </w:rPr>
        <w:t>«Люкс».</w:t>
      </w:r>
    </w:p>
    <w:p w:rsidR="00C42E4D" w:rsidRPr="00A3616D" w:rsidRDefault="003C7BD2" w:rsidP="00A3616D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>4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. </w:t>
      </w:r>
      <w:proofErr w:type="gramStart"/>
      <w:r w:rsidR="00C42E4D" w:rsidRPr="00A3616D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="00C42E4D" w:rsidRPr="00A3616D">
        <w:rPr>
          <w:rStyle w:val="FontStyle12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2E4D" w:rsidRPr="00A3616D" w:rsidRDefault="003C7BD2" w:rsidP="00A3616D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A3616D">
        <w:rPr>
          <w:rStyle w:val="FontStyle12"/>
          <w:rFonts w:ascii="Arial" w:hAnsi="Arial" w:cs="Arial"/>
          <w:sz w:val="24"/>
          <w:szCs w:val="24"/>
        </w:rPr>
        <w:t>5</w:t>
      </w:r>
      <w:r w:rsidR="00042D7E" w:rsidRPr="00A3616D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C42E4D" w:rsidRPr="00A3616D">
        <w:rPr>
          <w:rStyle w:val="FontStyle12"/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 w:rsidRPr="00A3616D">
        <w:rPr>
          <w:rStyle w:val="FontStyle12"/>
          <w:rFonts w:ascii="Arial" w:hAnsi="Arial" w:cs="Arial"/>
          <w:sz w:val="24"/>
          <w:szCs w:val="24"/>
        </w:rPr>
        <w:t>Имисские</w:t>
      </w:r>
      <w:proofErr w:type="spellEnd"/>
      <w:r w:rsidR="00C42E4D" w:rsidRPr="00A3616D">
        <w:rPr>
          <w:rStyle w:val="FontStyle12"/>
          <w:rFonts w:ascii="Arial" w:hAnsi="Arial" w:cs="Arial"/>
          <w:sz w:val="24"/>
          <w:szCs w:val="24"/>
        </w:rPr>
        <w:t xml:space="preserve"> зори.</w:t>
      </w:r>
    </w:p>
    <w:p w:rsidR="00C42E4D" w:rsidRPr="00A3616D" w:rsidRDefault="00C42E4D" w:rsidP="00A3616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42D7E" w:rsidRPr="00A3616D" w:rsidRDefault="00042D7E" w:rsidP="00A3616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42D7E" w:rsidRPr="00A3616D" w:rsidRDefault="00042D7E" w:rsidP="00A3616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3616D">
        <w:rPr>
          <w:rFonts w:ascii="Arial" w:hAnsi="Arial" w:cs="Arial"/>
          <w:sz w:val="24"/>
          <w:szCs w:val="24"/>
        </w:rPr>
        <w:t>Глава сельсовета</w:t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r w:rsidRPr="00A3616D">
        <w:rPr>
          <w:rFonts w:ascii="Arial" w:hAnsi="Arial" w:cs="Arial"/>
          <w:sz w:val="24"/>
          <w:szCs w:val="24"/>
        </w:rPr>
        <w:tab/>
      </w:r>
      <w:proofErr w:type="spellStart"/>
      <w:r w:rsidRPr="00A3616D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042D7E" w:rsidRPr="00A3616D" w:rsidRDefault="00042D7E" w:rsidP="00A3616D">
      <w:pPr>
        <w:autoSpaceDE w:val="0"/>
        <w:autoSpaceDN w:val="0"/>
        <w:adjustRightInd w:val="0"/>
        <w:spacing w:before="1200" w:after="840" w:line="240" w:lineRule="auto"/>
        <w:ind w:firstLine="709"/>
        <w:jc w:val="center"/>
        <w:rPr>
          <w:rFonts w:ascii="Arial" w:hAnsi="Arial" w:cs="Arial"/>
          <w:b/>
          <w:bCs/>
          <w:caps/>
          <w:color w:val="00000A"/>
          <w:sz w:val="24"/>
          <w:szCs w:val="24"/>
        </w:rPr>
      </w:pPr>
    </w:p>
    <w:p w:rsidR="009570EF" w:rsidRPr="00A3616D" w:rsidRDefault="009570EF" w:rsidP="00A3616D">
      <w:pPr>
        <w:autoSpaceDE w:val="0"/>
        <w:autoSpaceDN w:val="0"/>
        <w:adjustRightInd w:val="0"/>
        <w:spacing w:before="1200" w:after="840" w:line="240" w:lineRule="auto"/>
        <w:ind w:firstLine="709"/>
        <w:rPr>
          <w:rFonts w:ascii="Arial" w:hAnsi="Arial" w:cs="Arial"/>
          <w:b/>
          <w:bCs/>
          <w:caps/>
          <w:color w:val="00000A"/>
          <w:sz w:val="24"/>
          <w:szCs w:val="24"/>
        </w:rPr>
      </w:pPr>
    </w:p>
    <w:p w:rsidR="00A70E10" w:rsidRPr="00A3616D" w:rsidRDefault="009570EF" w:rsidP="00A3616D">
      <w:pPr>
        <w:autoSpaceDE w:val="0"/>
        <w:autoSpaceDN w:val="0"/>
        <w:adjustRightInd w:val="0"/>
        <w:spacing w:before="1200" w:after="840" w:line="240" w:lineRule="auto"/>
        <w:ind w:firstLine="709"/>
        <w:rPr>
          <w:rFonts w:ascii="Arial" w:hAnsi="Arial" w:cs="Arial"/>
          <w:b/>
          <w:bCs/>
          <w:cap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 xml:space="preserve"> </w:t>
      </w:r>
      <w:r w:rsidR="00A70E10"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Схема теплоснабжения с. Имисское Курагинского района Кр</w:t>
      </w:r>
      <w:r w:rsidR="00500D66"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а</w:t>
      </w:r>
      <w:r w:rsidR="00376DB3"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сноярского края на период с 2021 по 2031</w:t>
      </w:r>
      <w:r w:rsidR="00A70E10"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 xml:space="preserve"> годы</w:t>
      </w:r>
    </w:p>
    <w:p w:rsidR="00A70E10" w:rsidRPr="00A3616D" w:rsidRDefault="00A3616D" w:rsidP="00A3616D">
      <w:pPr>
        <w:autoSpaceDE w:val="0"/>
        <w:autoSpaceDN w:val="0"/>
        <w:adjustRightInd w:val="0"/>
        <w:spacing w:before="360" w:after="360" w:line="240" w:lineRule="auto"/>
        <w:ind w:firstLine="709"/>
        <w:rPr>
          <w:rFonts w:ascii="Arial" w:hAnsi="Arial" w:cs="Arial"/>
          <w:b/>
          <w:bCs/>
          <w:cap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="00A70E10"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Содержание</w:t>
      </w:r>
    </w:p>
    <w:p w:rsidR="00A70E10" w:rsidRPr="00A3616D" w:rsidRDefault="00F554CC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_Toc356801071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Введение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1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3</w:t>
        </w:r>
      </w:hyperlink>
    </w:p>
    <w:p w:rsidR="00A70E10" w:rsidRPr="00A3616D" w:rsidRDefault="00F554CC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2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ГЛАВА 1.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2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Существующее положение в сфере производства, передачи и потребления тепловой энергии для целей теплоснабжения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3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3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1.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3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Функциональная структура теплоснабжения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4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4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2.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4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Источники тепловой энергии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4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5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3.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5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Тепловые сети, сооружения на них и тепловые пункты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6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6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4.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6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Зоны действия источников тепловой энергии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7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7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5.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7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8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8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6.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8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Балансы тепловой мощности и тепловой нагрузки в зонах действия источников тепловой энергии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8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79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7.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79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Балансы теплоносителя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9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0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8.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80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Топливные балансы источников тепловой энергии и система обеспечения топливом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9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1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9.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81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Надежность теплоснабжения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10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2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10.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82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 xml:space="preserve">Технико-экономические показатели теплоснабжающих и </w:t>
        </w:r>
        <w:proofErr w:type="spellStart"/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теплосетевых</w:t>
        </w:r>
        <w:proofErr w:type="spellEnd"/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 xml:space="preserve"> организаций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11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3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11.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83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Цены (тарифы) в сфере теплоснабжения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11</w:t>
      </w:r>
    </w:p>
    <w:p w:rsidR="00A70E10" w:rsidRPr="00A3616D" w:rsidRDefault="00F554CC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4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Часть 12.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</w:r>
      <w:hyperlink w:anchor="_Toc356801084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13</w:t>
      </w:r>
    </w:p>
    <w:p w:rsidR="00A70E10" w:rsidRPr="00A3616D" w:rsidRDefault="00F554CC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5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Нормативно-техническая (ссылочная) литература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14</w:t>
      </w:r>
    </w:p>
    <w:p w:rsidR="00A70E10" w:rsidRPr="00A3616D" w:rsidRDefault="00A70E10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F554CC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hyperlink w:anchor="_Toc356801088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 xml:space="preserve">Приложение 1. 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 xml:space="preserve"> </w:t>
      </w:r>
      <w:hyperlink w:anchor="_Toc356801088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 xml:space="preserve">Схема расположения 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 xml:space="preserve"> </w:t>
      </w:r>
      <w:hyperlink w:anchor="_Toc356801088" w:history="1">
        <w:r w:rsidR="00A70E10" w:rsidRPr="00A3616D">
          <w:rPr>
            <w:rFonts w:ascii="Arial" w:hAnsi="Arial" w:cs="Arial"/>
            <w:color w:val="00000A"/>
            <w:sz w:val="24"/>
            <w:szCs w:val="24"/>
            <w:u w:val="single"/>
          </w:rPr>
          <w:t>существующих источников тепловой энергии и зоны их действия</w:t>
        </w:r>
      </w:hyperlink>
      <w:r w:rsidR="00A70E10" w:rsidRPr="00A3616D">
        <w:rPr>
          <w:rFonts w:ascii="Arial" w:hAnsi="Arial" w:cs="Arial"/>
          <w:color w:val="00000A"/>
          <w:sz w:val="24"/>
          <w:szCs w:val="24"/>
        </w:rPr>
        <w:tab/>
        <w:t>15</w:t>
      </w:r>
    </w:p>
    <w:p w:rsidR="00A70E10" w:rsidRPr="00A3616D" w:rsidRDefault="00A70E10" w:rsidP="00A3616D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Приложение 2. Температурный график………………………………………………………........16</w:t>
      </w:r>
    </w:p>
    <w:p w:rsidR="00A70E10" w:rsidRPr="00A3616D" w:rsidRDefault="00A70E10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firstLine="709"/>
        <w:jc w:val="center"/>
        <w:rPr>
          <w:rFonts w:ascii="Arial" w:hAnsi="Arial" w:cs="Arial"/>
          <w:b/>
          <w:bCs/>
          <w:cap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Введение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lastRenderedPageBreak/>
        <w:t xml:space="preserve">Схема теплоснабжения разработана на основании задания на проектирование по объекту «Схема теплоснабжения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Курагинского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района Красноярского края»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3616D">
        <w:rPr>
          <w:rFonts w:ascii="Arial" w:hAnsi="Arial" w:cs="Arial"/>
          <w:color w:val="000000"/>
          <w:sz w:val="24"/>
          <w:szCs w:val="24"/>
        </w:rPr>
        <w:t>Объем и состав проекта соответствует «Методическим рекомендациям по разработки схем теплоснабжения» введенных в действие  в соответствии с пунктом 3 постановления Правительства РФ от 22.02.2012 № 154.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3616D">
        <w:rPr>
          <w:rFonts w:ascii="Arial" w:hAnsi="Arial" w:cs="Arial"/>
          <w:color w:val="000000"/>
          <w:sz w:val="24"/>
          <w:szCs w:val="24"/>
        </w:rPr>
        <w:t xml:space="preserve">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firstLine="709"/>
        <w:rPr>
          <w:rFonts w:ascii="Arial" w:hAnsi="Arial" w:cs="Arial"/>
          <w:b/>
          <w:bCs/>
          <w:cap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Функциональная структура теплоснабжения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В настоящее время в ООО </w:t>
      </w:r>
      <w:r w:rsidR="00E3219B" w:rsidRPr="00A3616D">
        <w:rPr>
          <w:rFonts w:ascii="Arial" w:hAnsi="Arial" w:cs="Arial"/>
          <w:color w:val="00000A"/>
          <w:sz w:val="24"/>
          <w:szCs w:val="24"/>
        </w:rPr>
        <w:t>«Люкс»</w:t>
      </w:r>
      <w:r w:rsidRPr="00A3616D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пгт</w:t>
      </w:r>
      <w:proofErr w:type="spellEnd"/>
      <w:r w:rsidR="00042D7E" w:rsidRPr="00A3616D">
        <w:rPr>
          <w:rFonts w:ascii="Arial" w:hAnsi="Arial" w:cs="Arial"/>
          <w:color w:val="00000A"/>
          <w:sz w:val="24"/>
          <w:szCs w:val="24"/>
        </w:rPr>
        <w:t>.</w:t>
      </w:r>
      <w:r w:rsidRPr="00A3616D">
        <w:rPr>
          <w:rFonts w:ascii="Arial" w:hAnsi="Arial" w:cs="Arial"/>
          <w:color w:val="00000A"/>
          <w:sz w:val="24"/>
          <w:szCs w:val="24"/>
        </w:rPr>
        <w:t xml:space="preserve"> Курагино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Курагинского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района Красноярского края находится на обслуживании Котельная, расположенная по адресу: Красноярский край,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Курагинский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район,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, ул. </w:t>
      </w: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Трактовая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, 21а. </w:t>
      </w:r>
    </w:p>
    <w:p w:rsidR="00A70E10" w:rsidRPr="00A3616D" w:rsidRDefault="00A3616D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</w:t>
      </w:r>
      <w:r w:rsidR="00A70E10" w:rsidRPr="00A3616D">
        <w:rPr>
          <w:rFonts w:ascii="Arial" w:hAnsi="Arial" w:cs="Arial"/>
          <w:color w:val="00000A"/>
          <w:sz w:val="24"/>
          <w:szCs w:val="24"/>
        </w:rPr>
        <w:t>Котельная общей производительностью по подключенной нагрузке 2 Гкал/</w:t>
      </w:r>
      <w:proofErr w:type="gramStart"/>
      <w:r w:rsidR="00A70E10" w:rsidRPr="00A3616D">
        <w:rPr>
          <w:rFonts w:ascii="Arial" w:hAnsi="Arial" w:cs="Arial"/>
          <w:color w:val="00000A"/>
          <w:sz w:val="24"/>
          <w:szCs w:val="24"/>
        </w:rPr>
        <w:t>ч</w:t>
      </w:r>
      <w:proofErr w:type="gramEnd"/>
      <w:r w:rsidR="00A70E10" w:rsidRPr="00A3616D">
        <w:rPr>
          <w:rFonts w:ascii="Arial" w:hAnsi="Arial" w:cs="Arial"/>
          <w:color w:val="00000A"/>
          <w:sz w:val="24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 w:rsidR="00A70E10" w:rsidRPr="00A3616D">
        <w:rPr>
          <w:rFonts w:ascii="Arial" w:hAnsi="Arial" w:cs="Arial"/>
          <w:color w:val="00000A"/>
          <w:sz w:val="24"/>
          <w:szCs w:val="24"/>
        </w:rPr>
        <w:t>Имисс</w:t>
      </w:r>
      <w:proofErr w:type="spellEnd"/>
      <w:r w:rsidR="00A70E10" w:rsidRPr="00A3616D">
        <w:rPr>
          <w:rFonts w:ascii="Arial" w:hAnsi="Arial" w:cs="Arial"/>
          <w:color w:val="00000A"/>
          <w:sz w:val="24"/>
          <w:szCs w:val="24"/>
        </w:rPr>
        <w:t xml:space="preserve">, Администрацию </w:t>
      </w:r>
      <w:proofErr w:type="spellStart"/>
      <w:r w:rsidR="00A70E10" w:rsidRPr="00A3616D">
        <w:rPr>
          <w:rFonts w:ascii="Arial" w:hAnsi="Arial" w:cs="Arial"/>
          <w:color w:val="00000A"/>
          <w:sz w:val="24"/>
          <w:szCs w:val="24"/>
        </w:rPr>
        <w:t>Имисского</w:t>
      </w:r>
      <w:proofErr w:type="spellEnd"/>
      <w:r w:rsidR="00A70E10" w:rsidRPr="00A3616D">
        <w:rPr>
          <w:rFonts w:ascii="Arial" w:hAnsi="Arial" w:cs="Arial"/>
          <w:color w:val="00000A"/>
          <w:sz w:val="24"/>
          <w:szCs w:val="24"/>
        </w:rPr>
        <w:t xml:space="preserve"> сельсовета.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 Основной жилой фонд поселка снабжается теплом от поквартирных источников тепла (печи, камины, котлы).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На территории поселка осуществляет производство и передачу тепловой энергии одна эксплуатирующая организация - ООО «</w:t>
      </w:r>
      <w:r w:rsidR="00E3219B" w:rsidRPr="00A3616D">
        <w:rPr>
          <w:rFonts w:ascii="Arial" w:hAnsi="Arial" w:cs="Arial"/>
          <w:color w:val="00000A"/>
          <w:sz w:val="24"/>
          <w:szCs w:val="24"/>
        </w:rPr>
        <w:t>Люкс</w:t>
      </w:r>
      <w:r w:rsidRPr="00A3616D">
        <w:rPr>
          <w:rFonts w:ascii="Arial" w:hAnsi="Arial" w:cs="Arial"/>
          <w:color w:val="00000A"/>
          <w:sz w:val="24"/>
          <w:szCs w:val="24"/>
        </w:rPr>
        <w:t xml:space="preserve">». Она выполняет производство тепловой энергии и передачу ее, обеспечивая теплоснабжением учреждения села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>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Отношения между снабжающими и потребляющими организациями – договорные.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Источники тепловой энергии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Котельная с. </w:t>
      </w:r>
      <w:proofErr w:type="spellStart"/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имеет 2  </w:t>
      </w: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водогрейных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0,7948</w:t>
      </w:r>
      <w:r w:rsidRPr="00A3616D">
        <w:rPr>
          <w:rFonts w:ascii="Arial" w:hAnsi="Arial" w:cs="Arial"/>
          <w:color w:val="00000A"/>
          <w:sz w:val="24"/>
          <w:szCs w:val="24"/>
        </w:rPr>
        <w:softHyphen/>
      </w:r>
      <w:r w:rsidRPr="00A3616D">
        <w:rPr>
          <w:rFonts w:ascii="Arial" w:hAnsi="Arial" w:cs="Arial"/>
          <w:color w:val="00000A"/>
          <w:sz w:val="24"/>
          <w:szCs w:val="24"/>
        </w:rPr>
        <w:softHyphen/>
        <w:t>Гкал/час. Рабочая температура теплоносителя на отопление 95-70°С.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 Здание котельной - кирпичное, 2002 года постройки.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lastRenderedPageBreak/>
        <w:t xml:space="preserve"> Категория потребителей тепла по надежности теплоснабжения и отпуску тепла – вторая.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подпиточной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воды отсутствует.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межотопительный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период котельная  останавливается.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Структура основного (котлового) оборудования представлена в таблице 2.1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2.1</w:t>
      </w:r>
    </w:p>
    <w:tbl>
      <w:tblPr>
        <w:tblW w:w="0" w:type="auto"/>
        <w:tblInd w:w="358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1310"/>
      </w:tblGrid>
      <w:tr w:rsidR="00A70E10" w:rsidRPr="00A3616D" w:rsidTr="00A70E10">
        <w:trPr>
          <w:trHeight w:val="255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Год проведения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последних наладочных работ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Примечание</w:t>
            </w:r>
          </w:p>
        </w:tc>
      </w:tr>
      <w:tr w:rsidR="00A70E10" w:rsidRPr="00A3616D" w:rsidTr="00A70E10">
        <w:trPr>
          <w:trHeight w:val="18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.И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Кв-2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Характеристика основного оборудования по источникам тепловой энергии представлена в таблице 2.2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2.2</w:t>
      </w:r>
    </w:p>
    <w:tbl>
      <w:tblPr>
        <w:tblW w:w="9356" w:type="dxa"/>
        <w:tblInd w:w="108" w:type="dxa"/>
        <w:tblLayout w:type="fixed"/>
        <w:tblLook w:val="0000"/>
      </w:tblPr>
      <w:tblGrid>
        <w:gridCol w:w="4008"/>
        <w:gridCol w:w="5348"/>
      </w:tblGrid>
      <w:tr w:rsidR="00A70E10" w:rsidRPr="00A3616D" w:rsidTr="00A70E10">
        <w:trPr>
          <w:trHeight w:val="1"/>
        </w:trPr>
        <w:tc>
          <w:tcPr>
            <w:tcW w:w="4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источников тепловой энергии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Температурный график работы,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Тп</w:t>
            </w:r>
            <w:proofErr w:type="spellEnd"/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/Т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о, °С 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95/70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Установленная тепловая мощность оборудования, Гкал/час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Ограничения тепловой мощности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по паспорту 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Объем потребления тепловой энергии и теплоносителя на собственные и хозяйственные нужды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0,2770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Срок ввода в эксплуатацию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теплофикационного 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lastRenderedPageBreak/>
              <w:t>2002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2017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Среднегодовая загрузка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   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0,69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Способ регулирования отпуска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A70E10" w:rsidRPr="00A3616D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Способ учета тепла, отпущенного в тепловые сети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Расчетный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, в зависимости от показаний температур воды в подающем и обратном трубопроводах</w:t>
            </w:r>
          </w:p>
        </w:tc>
      </w:tr>
      <w:tr w:rsidR="00A70E10" w:rsidRPr="00A3616D" w:rsidTr="00A70E10">
        <w:trPr>
          <w:trHeight w:val="732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Статистика отказов и  восстановлений отсутствует </w:t>
            </w:r>
          </w:p>
        </w:tc>
      </w:tr>
      <w:tr w:rsidR="00A70E10" w:rsidRPr="00A3616D" w:rsidTr="00A70E10">
        <w:trPr>
          <w:trHeight w:val="1249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Предписания надзорных органов по запрещению дальнейшей эксплуатации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источников тепловой энергии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или участков тепловой сети не производилось.</w:t>
            </w:r>
          </w:p>
        </w:tc>
      </w:tr>
    </w:tbl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  <w:sectPr w:rsidR="00A70E10" w:rsidRPr="00A3616D" w:rsidSect="00A36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Тепловые сети, сооружения на них и тепловые пункты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Описание тепловой сети котельной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представлено в таблице 3.1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3.1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756"/>
        <w:gridCol w:w="6891"/>
      </w:tblGrid>
      <w:tr w:rsidR="00A70E10" w:rsidRPr="00A3616D" w:rsidTr="00A70E10">
        <w:trPr>
          <w:trHeight w:val="1"/>
        </w:trPr>
        <w:tc>
          <w:tcPr>
            <w:tcW w:w="7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Описание, значения </w:t>
            </w:r>
          </w:p>
        </w:tc>
      </w:tr>
      <w:tr w:rsidR="00A70E10" w:rsidRPr="00A3616D" w:rsidTr="00A70E10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о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 расчетной температуре наружного воздуха -40 </w:t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о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Параметры тепловых сетей,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Тепловая сеть водяная 2-х трубная, 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без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горячего водоснабжения;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материал трубопроводов – сталь трубная;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 прокладки – 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канальная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° С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следующим причинам: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только отопительной нагрузки.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 w:rsidTr="00A70E10">
        <w:trPr>
          <w:trHeight w:val="1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Утвержденный график отпуск теплота  приведен в приложении 2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последние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5 лет;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969"/>
            </w:tblGrid>
            <w:tr w:rsidR="00A70E10" w:rsidRPr="00A3616D">
              <w:trPr>
                <w:trHeight w:val="571"/>
              </w:trPr>
              <w:tc>
                <w:tcPr>
                  <w:tcW w:w="3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Pr="00A3616D" w:rsidRDefault="00A70E10" w:rsidP="00A3616D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61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704"/>
            </w:tblGrid>
            <w:tr w:rsidR="00A70E10" w:rsidRPr="00A3616D">
              <w:trPr>
                <w:trHeight w:val="571"/>
              </w:trPr>
              <w:tc>
                <w:tcPr>
                  <w:tcW w:w="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Pr="00A3616D" w:rsidRDefault="00A70E10" w:rsidP="00A3616D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361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Гидравлические испытания выполняются раз в год, осмотры и контрольные раскопки - по мере необходимости. </w:t>
                  </w:r>
                </w:p>
                <w:p w:rsidR="00A70E10" w:rsidRPr="00A3616D" w:rsidRDefault="00A70E10" w:rsidP="00A3616D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Летние ремонты проводятся ежегодно.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  <w:sectPr w:rsidR="00A70E10" w:rsidRPr="00A3616D" w:rsidSect="00A3616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Основные параметры тепловых сетей с разбивкой по длинам, диаметрам, по типу прокладки и изоляции: 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3.2</w:t>
      </w:r>
    </w:p>
    <w:tbl>
      <w:tblPr>
        <w:tblW w:w="9673" w:type="dxa"/>
        <w:tblInd w:w="74" w:type="dxa"/>
        <w:tblLayout w:type="fixed"/>
        <w:tblLook w:val="0000"/>
      </w:tblPr>
      <w:tblGrid>
        <w:gridCol w:w="566"/>
        <w:gridCol w:w="2837"/>
        <w:gridCol w:w="1273"/>
        <w:gridCol w:w="1418"/>
        <w:gridCol w:w="994"/>
        <w:gridCol w:w="1168"/>
        <w:gridCol w:w="1417"/>
      </w:tblGrid>
      <w:tr w:rsidR="00A70E10" w:rsidRPr="00A3616D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№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участка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диаметр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трубопроводов на  участке,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Длина трубопроводов тепловой сети,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Год   последнего кап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емонта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Тип  изоляции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Тип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прокладки</w:t>
            </w:r>
          </w:p>
        </w:tc>
      </w:tr>
      <w:tr w:rsidR="00A70E10" w:rsidRPr="00A3616D" w:rsidTr="008A407D">
        <w:trPr>
          <w:trHeight w:val="1"/>
        </w:trPr>
        <w:tc>
          <w:tcPr>
            <w:tcW w:w="9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с.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Имисское</w:t>
            </w:r>
            <w:proofErr w:type="spellEnd"/>
          </w:p>
        </w:tc>
      </w:tr>
      <w:tr w:rsidR="00A70E10" w:rsidRPr="00A3616D" w:rsidTr="008A407D">
        <w:trPr>
          <w:trHeight w:val="3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Подземный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минераловата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канальная</w:t>
            </w:r>
          </w:p>
        </w:tc>
      </w:tr>
      <w:tr w:rsidR="00A70E10" w:rsidRPr="00A3616D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 w:rsidTr="008A407D">
        <w:trPr>
          <w:trHeight w:val="1"/>
        </w:trPr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Общая протяженность сети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Зоны действия источников тепловой энергии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На территории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действует один источник централизованного </w:t>
      </w: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теплоснабжения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A70E10" w:rsidRPr="00A3616D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Вид источника</w:t>
            </w:r>
            <w:r w:rsid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Зоны действия источников теплоснабжения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Котельная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Адрес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Имисского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МБУЗ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Курагинская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Имисский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детский сад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«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Сказка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МБОУ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Имисская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Ул. Трактовая, </w:t>
            </w:r>
            <w:r w:rsidR="00D44B20" w:rsidRPr="00A3616D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МБУ Сельский дом культуры «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Имисский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D44B2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A3616D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616D">
              <w:rPr>
                <w:rFonts w:ascii="Arial" w:hAnsi="Arial" w:cs="Arial"/>
                <w:sz w:val="24"/>
                <w:szCs w:val="24"/>
              </w:rPr>
              <w:t>рактовая, 30Б</w:t>
            </w:r>
          </w:p>
        </w:tc>
      </w:tr>
      <w:tr w:rsidR="00A70E10" w:rsidRPr="00A3616D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E10" w:rsidRPr="00A3616D" w:rsidRDefault="00A70E10" w:rsidP="00A3616D">
      <w:p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Годовой баланс производства и потребления тепловой энергии котельной село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</w:t>
      </w:r>
      <w:proofErr w:type="spellEnd"/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5.1</w:t>
      </w:r>
    </w:p>
    <w:tbl>
      <w:tblPr>
        <w:tblW w:w="9639" w:type="dxa"/>
        <w:tblInd w:w="108" w:type="dxa"/>
        <w:tblLayout w:type="fixed"/>
        <w:tblLook w:val="0000"/>
      </w:tblPr>
      <w:tblGrid>
        <w:gridCol w:w="767"/>
        <w:gridCol w:w="4922"/>
        <w:gridCol w:w="1044"/>
        <w:gridCol w:w="2906"/>
      </w:tblGrid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№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п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Е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изм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lastRenderedPageBreak/>
              <w:t>2017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</w:t>
            </w:r>
          </w:p>
        </w:tc>
      </w:tr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864,314</w:t>
            </w:r>
          </w:p>
        </w:tc>
      </w:tr>
      <w:tr w:rsidR="00A70E10" w:rsidRPr="00A3616D" w:rsidTr="008A407D">
        <w:trPr>
          <w:trHeight w:val="315"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4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Расход топлива на собственные нужды всего, в том числе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в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16.133</w:t>
            </w:r>
          </w:p>
        </w:tc>
      </w:tr>
      <w:tr w:rsidR="00A70E10" w:rsidRPr="00A3616D" w:rsidTr="008A407D">
        <w:trPr>
          <w:trHeight w:val="252"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2,1</w:t>
            </w:r>
          </w:p>
        </w:tc>
      </w:tr>
      <w:tr w:rsidR="00A70E10" w:rsidRPr="00A3616D" w:rsidTr="008A407D">
        <w:trPr>
          <w:trHeight w:val="556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Отпуск тепла внешним потребителям с коллекторов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848,181</w:t>
            </w:r>
          </w:p>
        </w:tc>
      </w:tr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79,90</w:t>
            </w:r>
          </w:p>
        </w:tc>
      </w:tr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 потерь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10,4</w:t>
            </w:r>
          </w:p>
        </w:tc>
      </w:tr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768,281</w:t>
            </w:r>
          </w:p>
        </w:tc>
      </w:tr>
      <w:tr w:rsidR="00A70E10" w:rsidRPr="00A3616D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768.281</w:t>
            </w:r>
          </w:p>
        </w:tc>
      </w:tr>
    </w:tbl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Значения потребления тепловой энергии </w:t>
      </w: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при расчетных температурах наружного воздуха в зонах действия источника тепловой энергии с разбивкой тепловых нагрузок на максимальное потребление тепловой энергии на отопление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, вентиляцию, горячее водоснабжение и технологические нужды приведены в таблице 5. 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Таблица 5.2 </w:t>
      </w:r>
    </w:p>
    <w:tbl>
      <w:tblPr>
        <w:tblW w:w="9639" w:type="dxa"/>
        <w:tblInd w:w="108" w:type="dxa"/>
        <w:tblLayout w:type="fixed"/>
        <w:tblLook w:val="0000"/>
      </w:tblPr>
      <w:tblGrid>
        <w:gridCol w:w="675"/>
        <w:gridCol w:w="2302"/>
        <w:gridCol w:w="992"/>
        <w:gridCol w:w="1418"/>
        <w:gridCol w:w="1417"/>
        <w:gridCol w:w="1134"/>
        <w:gridCol w:w="1701"/>
      </w:tblGrid>
      <w:tr w:rsidR="00A70E10" w:rsidRPr="00A3616D" w:rsidTr="008A407D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Подключенная нагрузка, Гкал/час</w:t>
            </w:r>
          </w:p>
        </w:tc>
      </w:tr>
      <w:tr w:rsidR="00A70E10" w:rsidRPr="00A3616D" w:rsidTr="008A407D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ГВС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Технология </w:t>
            </w:r>
          </w:p>
        </w:tc>
      </w:tr>
      <w:tr w:rsidR="00A70E10" w:rsidRPr="00A3616D" w:rsidTr="008A407D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Баланс тепловой мощности подразумевает соответствие подключенной тепловой нагрузки тепловой мощности источников.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воздуха. За расчетную температуру наружного воздуха принимается температура воздуха холодной пятидневки, обеспеченностью 0.92 – минус 40°С.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6.1</w:t>
      </w:r>
      <w:proofErr w:type="gramEnd"/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lastRenderedPageBreak/>
        <w:t>Таблица 6.1</w:t>
      </w:r>
    </w:p>
    <w:tbl>
      <w:tblPr>
        <w:tblW w:w="9923" w:type="dxa"/>
        <w:tblInd w:w="216" w:type="dxa"/>
        <w:tblLayout w:type="fixed"/>
        <w:tblLook w:val="0000"/>
      </w:tblPr>
      <w:tblGrid>
        <w:gridCol w:w="709"/>
        <w:gridCol w:w="1451"/>
        <w:gridCol w:w="1276"/>
        <w:gridCol w:w="992"/>
        <w:gridCol w:w="1134"/>
        <w:gridCol w:w="961"/>
        <w:gridCol w:w="992"/>
        <w:gridCol w:w="1024"/>
        <w:gridCol w:w="1384"/>
      </w:tblGrid>
      <w:tr w:rsidR="00A70E10" w:rsidRPr="00A3616D" w:rsidTr="008A407D">
        <w:trPr>
          <w:trHeight w:val="3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Источник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   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тепловой  энергии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Собственные  нужды, Гкал/час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мощность  нетто,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Потери тепловой мощности в тепловых сетях, Гкал/час 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Тепловая нагрузка на потребителей, Гкал/час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Резерв / дефицит тепловой мощности нетто, Гкал/час</w:t>
            </w:r>
          </w:p>
        </w:tc>
      </w:tr>
      <w:tr w:rsidR="00A70E10" w:rsidRPr="00A3616D" w:rsidTr="008A407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0,0090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0.0427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0,5970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Как видно из таблицы дефицита мощности по котельной 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Балансы теплоносителя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На всех источниках тепловой энергии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, нет водоподготовительных установок теплоносителя для тепловых сетей. 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Теплоноситель в системе теплоснабжения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предназначен как для передачи теплоты, так и для горячего водоснабжения.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Количество теплоносителя, использованное на горячее водоснабжение потребителей и на нормативные утечки сведено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в таблицу 7.1.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7.1</w:t>
      </w:r>
    </w:p>
    <w:tbl>
      <w:tblPr>
        <w:tblW w:w="0" w:type="auto"/>
        <w:tblInd w:w="108" w:type="dxa"/>
        <w:tblLayout w:type="fixed"/>
        <w:tblLook w:val="0000"/>
      </w:tblPr>
      <w:tblGrid>
        <w:gridCol w:w="5009"/>
        <w:gridCol w:w="1761"/>
      </w:tblGrid>
      <w:tr w:rsidR="00A70E10" w:rsidRPr="00A3616D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с.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Имисское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A70E10" w:rsidRPr="00A3616D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Всего подпитка тепловой сети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гкал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, в т.ч.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737,84</w:t>
            </w:r>
          </w:p>
        </w:tc>
      </w:tr>
      <w:tr w:rsidR="00A70E10" w:rsidRPr="00A3616D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нормативные утечки теплоносителя,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85,4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Часть 8.</w:t>
      </w: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ab/>
        <w:t>Топливные балансы источников тепловой энергии и система обеспечения топливом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</w:t>
      </w:r>
      <w:proofErr w:type="spellStart"/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ава-рийного</w:t>
      </w:r>
      <w:proofErr w:type="spellEnd"/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вида топлива используется бурый уголь 3БР. Характеристика топлива представлена в таблице 8.1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8.1</w:t>
      </w:r>
    </w:p>
    <w:tbl>
      <w:tblPr>
        <w:tblW w:w="9226" w:type="dxa"/>
        <w:tblInd w:w="238" w:type="dxa"/>
        <w:tblLayout w:type="fixed"/>
        <w:tblLook w:val="0000"/>
      </w:tblPr>
      <w:tblGrid>
        <w:gridCol w:w="1636"/>
        <w:gridCol w:w="2366"/>
        <w:gridCol w:w="2531"/>
        <w:gridCol w:w="2693"/>
      </w:tblGrid>
      <w:tr w:rsidR="00A70E10" w:rsidRPr="00A3616D" w:rsidTr="008A407D">
        <w:trPr>
          <w:trHeight w:val="330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Вид топлива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Место поставки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Низшая теплота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сгорания,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Ккал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/кг.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Примечание</w:t>
            </w:r>
          </w:p>
        </w:tc>
      </w:tr>
      <w:tr w:rsidR="00A70E10" w:rsidRPr="00A3616D" w:rsidTr="008A407D">
        <w:trPr>
          <w:trHeight w:val="735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Уголь бурый Бородинский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АО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«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СУЭК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 xml:space="preserve">»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Разрез Бородинский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3600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Суммарное потребление топлива источниками тепловой энергии для нужд </w:t>
      </w:r>
      <w:proofErr w:type="spellStart"/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теплоснаб-жения</w:t>
      </w:r>
      <w:proofErr w:type="spellEnd"/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и величины выработки тепловой энергии  по данным 2012-2013   г. представлено в таблице 8.2.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8.2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4291"/>
        <w:gridCol w:w="2655"/>
      </w:tblGrid>
      <w:tr w:rsidR="00A70E10" w:rsidRPr="00A3616D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Источник тепловой</w:t>
            </w:r>
            <w:r w:rsid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</w:t>
            </w: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  энергии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Расчетная годовая выработка тепловой энергии с учетом потерь,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тыс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,г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Расчетное потребление топлива,  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кг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/Гкал</w:t>
            </w:r>
          </w:p>
        </w:tc>
      </w:tr>
      <w:tr w:rsidR="00A70E10" w:rsidRPr="00A3616D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котельная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0,8643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299.5</w:t>
            </w:r>
          </w:p>
        </w:tc>
      </w:tr>
    </w:tbl>
    <w:p w:rsidR="00A70E10" w:rsidRPr="00A3616D" w:rsidRDefault="00A70E10" w:rsidP="00A3616D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Часть 9. Надежность теплоснабжения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Таблица 9.1</w:t>
      </w:r>
    </w:p>
    <w:tbl>
      <w:tblPr>
        <w:tblW w:w="9356" w:type="dxa"/>
        <w:tblInd w:w="108" w:type="dxa"/>
        <w:tblLayout w:type="fixed"/>
        <w:tblLook w:val="0000"/>
      </w:tblPr>
      <w:tblGrid>
        <w:gridCol w:w="3632"/>
        <w:gridCol w:w="784"/>
        <w:gridCol w:w="2105"/>
        <w:gridCol w:w="2835"/>
      </w:tblGrid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Ед.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изм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Расчетные показатели (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СНиП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after="200" w:line="240" w:lineRule="auto"/>
              <w:ind w:firstLine="709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Факт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д</w:t>
            </w:r>
            <w:proofErr w:type="gram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анные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Calibri" w:cs="Arial"/>
                <w:color w:val="000000"/>
                <w:sz w:val="24"/>
                <w:szCs w:val="24"/>
                <w:lang w:val="en-US"/>
              </w:rPr>
              <w:t>⁰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-40</w:t>
            </w:r>
          </w:p>
        </w:tc>
      </w:tr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Средняя температура наиболее холодного месяца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Calibri" w:cs="Arial"/>
                <w:color w:val="000000"/>
                <w:sz w:val="24"/>
                <w:szCs w:val="24"/>
                <w:lang w:val="en-US"/>
              </w:rPr>
              <w:t>⁰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-23</w:t>
            </w:r>
          </w:p>
        </w:tc>
      </w:tr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Средняя температура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Calibri" w:cs="Arial"/>
                <w:color w:val="000000"/>
                <w:sz w:val="24"/>
                <w:szCs w:val="24"/>
                <w:lang w:val="en-US"/>
              </w:rPr>
              <w:t>⁰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-8,5</w:t>
            </w:r>
          </w:p>
        </w:tc>
      </w:tr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243</w:t>
            </w:r>
          </w:p>
        </w:tc>
      </w:tr>
      <w:tr w:rsidR="00A70E10" w:rsidRPr="00A3616D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5832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5832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Часть 10. Технико-экономические показатели теплоснабжающих и </w:t>
      </w:r>
      <w:proofErr w:type="spellStart"/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теплосетевых</w:t>
      </w:r>
      <w:proofErr w:type="spellEnd"/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 организаций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1"/>
          <w:sz w:val="24"/>
          <w:szCs w:val="24"/>
        </w:rPr>
      </w:pPr>
      <w:r w:rsidRPr="00A3616D">
        <w:rPr>
          <w:rFonts w:ascii="Arial" w:hAnsi="Arial" w:cs="Arial"/>
          <w:color w:val="000001"/>
          <w:sz w:val="24"/>
          <w:szCs w:val="24"/>
        </w:rPr>
        <w:t>Таблица 10.1</w:t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428"/>
      </w:tblGrid>
      <w:tr w:rsidR="00A70E10" w:rsidRPr="00A3616D" w:rsidTr="008A407D">
        <w:trPr>
          <w:trHeight w:val="841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E3219B"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г.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ООО </w:t>
            </w:r>
            <w:r w:rsidR="00E3219B" w:rsidRPr="00A3616D">
              <w:rPr>
                <w:rFonts w:ascii="Arial" w:hAnsi="Arial" w:cs="Arial"/>
                <w:b/>
                <w:color w:val="00000A"/>
                <w:sz w:val="24"/>
                <w:szCs w:val="24"/>
              </w:rPr>
              <w:t>«Люкс»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Сырье, основные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RPr="00A3616D" w:rsidTr="008A407D">
        <w:trPr>
          <w:trHeight w:val="37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3. Работы и услуги производственного характера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4.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Топливо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709,31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мазут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RPr="00A3616D" w:rsidTr="008A407D">
        <w:trPr>
          <w:trHeight w:val="402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5.1.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Энергия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5.2.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6.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Затраты на оплату труда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1500,96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441.17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8.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 Прочие затраты всего, в том числе: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691,14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9.1.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Целевые средства на НИОКР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9.2.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Средства на страхование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9.3. Плата за предельно допустимые выбросы (сбросы)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9.4. Оплата за услуги по организации функционирования и развитию ЕЭС России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0 </w:t>
            </w:r>
          </w:p>
        </w:tc>
      </w:tr>
      <w:tr w:rsidR="00A70E10" w:rsidRPr="00A3616D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9.5. Отчисления в ремонтный фонд (в случае его формирования)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9.6.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Водный налог (ГЭС)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0 </w:t>
            </w:r>
          </w:p>
        </w:tc>
      </w:tr>
      <w:tr w:rsidR="00A70E10" w:rsidRPr="00A3616D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9.7. Непроизводственные расходы (налоги и другие обязательные платежи и сборы)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9.7.1.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Налоги на землю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9.7.2.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Налоги на пользователей автодорог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0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9.7.3.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17,56 </w:t>
            </w:r>
          </w:p>
        </w:tc>
      </w:tr>
      <w:tr w:rsidR="00A70E10" w:rsidRPr="00A3616D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9.8. Другие затраты, относимые на себестоимость продукции, всего, в т.ч.: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673,58</w:t>
            </w:r>
          </w:p>
        </w:tc>
      </w:tr>
      <w:tr w:rsidR="00A70E10" w:rsidRPr="00A3616D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9.8.1.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70E10" w:rsidRPr="00A3616D" w:rsidTr="008A407D">
        <w:trPr>
          <w:trHeight w:val="285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10. </w:t>
            </w: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3934,95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Данные утверждены приказом РЭК за номером №330-п от 11.12.2012г.</w:t>
      </w:r>
    </w:p>
    <w:p w:rsidR="00A70E10" w:rsidRPr="00A3616D" w:rsidRDefault="00A70E10" w:rsidP="00A3616D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Часть 11. Цены (тарифы) в сфере теплоснабжения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На территории с. </w:t>
      </w: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Имисское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услуги по теплоснабжению оказывают следующие организации: </w:t>
      </w:r>
      <w:r w:rsidRPr="00A3616D">
        <w:rPr>
          <w:rFonts w:ascii="Arial" w:hAnsi="Arial" w:cs="Arial"/>
          <w:color w:val="000000"/>
          <w:sz w:val="24"/>
          <w:szCs w:val="24"/>
        </w:rPr>
        <w:t xml:space="preserve">ООО </w:t>
      </w:r>
      <w:r w:rsidR="00D6496A" w:rsidRPr="00A3616D">
        <w:rPr>
          <w:rFonts w:ascii="Arial" w:hAnsi="Arial" w:cs="Arial"/>
          <w:color w:val="00000A"/>
          <w:sz w:val="24"/>
          <w:szCs w:val="24"/>
        </w:rPr>
        <w:t xml:space="preserve">«Люкс» </w:t>
      </w: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динамики утвержденных тарифов</w:t>
      </w:r>
    </w:p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firstLine="709"/>
        <w:jc w:val="right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Таблица 11.1</w:t>
      </w:r>
    </w:p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firstLine="709"/>
        <w:jc w:val="right"/>
        <w:rPr>
          <w:rFonts w:ascii="Arial" w:hAnsi="Arial" w:cs="Arial"/>
          <w:sz w:val="24"/>
          <w:szCs w:val="24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01"/>
        <w:gridCol w:w="1842"/>
        <w:gridCol w:w="2276"/>
        <w:gridCol w:w="2578"/>
        <w:gridCol w:w="1559"/>
      </w:tblGrid>
      <w:tr w:rsidR="00A70E10" w:rsidRPr="00A3616D" w:rsidTr="008A407D">
        <w:trPr>
          <w:trHeight w:val="315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Наименование теплоснабжающей </w:t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орг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низации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4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Решения об установлении цен (тарифов) на тепловую энергию</w:t>
            </w:r>
          </w:p>
        </w:tc>
      </w:tr>
      <w:tr w:rsidR="00A70E10" w:rsidRPr="00A3616D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01.01.2018-30.06.2018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01.07.2018-31.08.2018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</w:p>
        </w:tc>
      </w:tr>
      <w:tr w:rsidR="00A70E10" w:rsidRPr="00A3616D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</w:t>
            </w:r>
            <w:r w:rsidR="00D6496A" w:rsidRPr="00A3616D">
              <w:rPr>
                <w:rFonts w:ascii="Arial" w:hAnsi="Arial" w:cs="Arial"/>
                <w:color w:val="00000A"/>
                <w:sz w:val="24"/>
                <w:szCs w:val="24"/>
              </w:rPr>
              <w:t>«Люкс»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4386,23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4527,29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103,2</w:t>
            </w:r>
          </w:p>
        </w:tc>
      </w:tr>
      <w:tr w:rsidR="00A70E10" w:rsidRPr="00A3616D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Надбавка к тарифу для потребителей,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A70E10" w:rsidRPr="00A3616D" w:rsidRDefault="00A70E10" w:rsidP="00A3616D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структуры цен (тарифов) установленных на момент разработки схем теплоснабжения:</w:t>
      </w:r>
    </w:p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представлены</w:t>
      </w:r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в таблице 11.1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 по данным РЭК (Приказ за номером №330-п от 11.12.2012г) не утверждался.</w:t>
      </w:r>
    </w:p>
    <w:p w:rsidR="00A70E10" w:rsidRPr="00A3616D" w:rsidRDefault="00A70E10" w:rsidP="00A3616D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A3616D">
        <w:rPr>
          <w:rFonts w:ascii="Arial" w:hAnsi="Arial" w:cs="Arial"/>
          <w:i/>
          <w:iCs/>
          <w:color w:val="00000A"/>
          <w:sz w:val="24"/>
          <w:szCs w:val="24"/>
        </w:rP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A70E10" w:rsidRPr="00A3616D" w:rsidRDefault="00A70E10" w:rsidP="00A3616D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по данным РЭК (Приказ за номером №330-п от 11.12.2012г) не утверждался.</w:t>
      </w:r>
    </w:p>
    <w:p w:rsidR="00A70E10" w:rsidRPr="00A3616D" w:rsidRDefault="00A70E10" w:rsidP="00A3616D">
      <w:pPr>
        <w:autoSpaceDE w:val="0"/>
        <w:autoSpaceDN w:val="0"/>
        <w:adjustRightInd w:val="0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Часть 12. Описание существующих технических и технологических проблем в системах теплоснабжения поселения.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все  источники тепловой энергии в достаточной степени укомплектованы специалистами.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3616D">
        <w:rPr>
          <w:rFonts w:ascii="Arial" w:hAnsi="Arial" w:cs="Arial"/>
          <w:color w:val="000000"/>
          <w:sz w:val="24"/>
          <w:szCs w:val="24"/>
        </w:rPr>
        <w:t>Проблемы в системах теплоснабжения источников тепловой энергии  разделены на две группы и сведены в табличный вид.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A3616D">
        <w:rPr>
          <w:rFonts w:ascii="Arial" w:hAnsi="Arial" w:cs="Arial"/>
          <w:color w:val="000000"/>
          <w:sz w:val="24"/>
          <w:szCs w:val="24"/>
        </w:rPr>
        <w:t>Таблица 12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3969"/>
        <w:gridCol w:w="3119"/>
      </w:tblGrid>
      <w:tr w:rsidR="00A70E10" w:rsidRPr="00A3616D" w:rsidTr="008A407D">
        <w:trPr>
          <w:trHeight w:val="303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источника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тепла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Проблемы в системах теплоснабжения</w:t>
            </w:r>
          </w:p>
        </w:tc>
      </w:tr>
      <w:tr w:rsidR="00A70E10" w:rsidRPr="00A3616D" w:rsidTr="008A407D">
        <w:trPr>
          <w:trHeight w:val="24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0" w:after="84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В котельной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На тепловых сетях</w:t>
            </w:r>
          </w:p>
        </w:tc>
      </w:tr>
      <w:tr w:rsidR="00A70E10" w:rsidRPr="00A3616D" w:rsidTr="008A407D">
        <w:trPr>
          <w:trHeight w:val="168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before="12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с.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Имисское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Отсутствие приборов учета тепловой </w:t>
            </w:r>
            <w:proofErr w:type="gram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энергии</w:t>
            </w:r>
            <w:proofErr w:type="gram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как на источнике, так и у потребителей;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2. Отсутствие водоподготовки </w:t>
            </w:r>
            <w:proofErr w:type="spellStart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подпиточной</w:t>
            </w:r>
            <w:proofErr w:type="spellEnd"/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воды;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3. Износ оборудования котельной;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1.Плохое состояние трубопроводов тепловых сетей;</w:t>
            </w:r>
          </w:p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0"/>
                <w:sz w:val="24"/>
                <w:szCs w:val="24"/>
              </w:rPr>
              <w:t>2.Низкое качество теплоизоляции (или полное ее отсутствие на отдельных участках);</w:t>
            </w:r>
          </w:p>
        </w:tc>
      </w:tr>
    </w:tbl>
    <w:p w:rsidR="00A70E10" w:rsidRPr="00A3616D" w:rsidRDefault="00A70E10" w:rsidP="00A3616D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firstLine="709"/>
        <w:jc w:val="center"/>
        <w:rPr>
          <w:rFonts w:ascii="Arial" w:hAnsi="Arial" w:cs="Arial"/>
          <w:b/>
          <w:bCs/>
          <w:cap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aps/>
          <w:color w:val="00000A"/>
          <w:sz w:val="24"/>
          <w:szCs w:val="24"/>
        </w:rPr>
        <w:t>Нормативно-техническая (ссылочная) литература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Постановление Правительства Российской Федерации от 22.02.2012г №154</w:t>
      </w:r>
      <w:r w:rsidR="00A3616D">
        <w:rPr>
          <w:rFonts w:ascii="Arial" w:hAnsi="Arial" w:cs="Arial"/>
          <w:color w:val="00000A"/>
          <w:sz w:val="24"/>
          <w:szCs w:val="24"/>
        </w:rPr>
        <w:t xml:space="preserve">   </w:t>
      </w:r>
      <w:r w:rsidRPr="00A3616D">
        <w:rPr>
          <w:rFonts w:ascii="Arial" w:hAnsi="Arial" w:cs="Arial"/>
          <w:color w:val="00000A"/>
          <w:sz w:val="24"/>
          <w:szCs w:val="24"/>
        </w:rPr>
        <w:t xml:space="preserve"> «О требованиях к схемам теплоснабжения, порядку их разработки и утверждения»;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Методические рекомендации по разработке схем теплоснабжения.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  <w:lang w:val="en-US"/>
        </w:rPr>
      </w:pP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СНиП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41-02-2003 </w:t>
      </w:r>
      <w:r w:rsidRPr="00A3616D">
        <w:rPr>
          <w:rFonts w:ascii="Arial" w:hAnsi="Arial" w:cs="Arial"/>
          <w:color w:val="00000A"/>
          <w:sz w:val="24"/>
          <w:szCs w:val="24"/>
          <w:lang w:val="en-US"/>
        </w:rPr>
        <w:t>«</w:t>
      </w:r>
      <w:r w:rsidRPr="00A3616D">
        <w:rPr>
          <w:rFonts w:ascii="Arial" w:hAnsi="Arial" w:cs="Arial"/>
          <w:color w:val="00000A"/>
          <w:sz w:val="24"/>
          <w:szCs w:val="24"/>
        </w:rPr>
        <w:t>Тепловые сети</w:t>
      </w:r>
      <w:r w:rsidRPr="00A3616D">
        <w:rPr>
          <w:rFonts w:ascii="Arial" w:hAnsi="Arial" w:cs="Arial"/>
          <w:color w:val="00000A"/>
          <w:sz w:val="24"/>
          <w:szCs w:val="24"/>
          <w:lang w:val="en-US"/>
        </w:rPr>
        <w:t>»;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  <w:lang w:val="en-US"/>
        </w:rPr>
      </w:pPr>
      <w:r w:rsidRPr="00A3616D">
        <w:rPr>
          <w:rFonts w:ascii="Arial" w:hAnsi="Arial" w:cs="Arial"/>
          <w:color w:val="00000A"/>
          <w:sz w:val="24"/>
          <w:szCs w:val="24"/>
        </w:rPr>
        <w:t xml:space="preserve">СП 89.13330.2012 </w:t>
      </w:r>
      <w:r w:rsidRPr="00A3616D">
        <w:rPr>
          <w:rFonts w:ascii="Arial" w:hAnsi="Arial" w:cs="Arial"/>
          <w:color w:val="00000A"/>
          <w:sz w:val="24"/>
          <w:szCs w:val="24"/>
          <w:lang w:val="en-US"/>
        </w:rPr>
        <w:t>«</w:t>
      </w:r>
      <w:r w:rsidRPr="00A3616D">
        <w:rPr>
          <w:rFonts w:ascii="Arial" w:hAnsi="Arial" w:cs="Arial"/>
          <w:color w:val="00000A"/>
          <w:sz w:val="24"/>
          <w:szCs w:val="24"/>
        </w:rPr>
        <w:t>Котельные установки</w:t>
      </w:r>
      <w:r w:rsidRPr="00A3616D">
        <w:rPr>
          <w:rFonts w:ascii="Arial" w:hAnsi="Arial" w:cs="Arial"/>
          <w:color w:val="00000A"/>
          <w:sz w:val="24"/>
          <w:szCs w:val="24"/>
          <w:lang w:val="en-US"/>
        </w:rPr>
        <w:t>»;</w:t>
      </w:r>
    </w:p>
    <w:p w:rsidR="00A70E10" w:rsidRPr="00A3616D" w:rsidRDefault="00A70E10" w:rsidP="00A3616D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РД-7-ВЭП «Расчет систем централизованного теплоснабжения с учетом требований надежности».</w:t>
      </w:r>
    </w:p>
    <w:p w:rsidR="008A407D" w:rsidRPr="00A3616D" w:rsidRDefault="008A407D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E10" w:rsidRPr="00A3616D" w:rsidRDefault="00A70E10" w:rsidP="00A3616D">
      <w:pPr>
        <w:autoSpaceDE w:val="0"/>
        <w:autoSpaceDN w:val="0"/>
        <w:adjustRightInd w:val="0"/>
        <w:spacing w:before="360" w:after="120" w:line="240" w:lineRule="auto"/>
        <w:ind w:firstLine="709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Схема раздела границ теплоснабжения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</w:rPr>
      </w:pPr>
      <w:r w:rsidRPr="00A3616D">
        <w:rPr>
          <w:rFonts w:ascii="Arial" w:hAnsi="Arial" w:cs="Arial"/>
          <w:color w:val="00000A"/>
          <w:sz w:val="24"/>
          <w:szCs w:val="24"/>
        </w:rPr>
        <w:t>Приложение 1</w:t>
      </w:r>
    </w:p>
    <w:p w:rsidR="00A70E10" w:rsidRPr="00A3616D" w:rsidRDefault="00A70E10" w:rsidP="00A3616D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A3616D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883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Планируемые мероприятия </w:t>
      </w:r>
      <w:proofErr w:type="gramStart"/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согласно</w:t>
      </w:r>
      <w:proofErr w:type="gramEnd"/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 концессионного соглашения</w:t>
      </w:r>
    </w:p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35"/>
        <w:gridCol w:w="1365"/>
        <w:gridCol w:w="6600"/>
      </w:tblGrid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/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Запланированные мероприятия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2022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2023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2025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3616D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2026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</w:t>
            </w:r>
          </w:p>
        </w:tc>
      </w:tr>
    </w:tbl>
    <w:p w:rsidR="00A70E10" w:rsidRPr="00A3616D" w:rsidRDefault="00A70E10" w:rsidP="00A361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A70E10" w:rsidRPr="00A3616D" w:rsidRDefault="00A70E10" w:rsidP="00A3616D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>ТЕМПЕРАТУРНЫЙ ГРАФИК</w:t>
      </w:r>
    </w:p>
    <w:p w:rsidR="00A70E10" w:rsidRPr="00A3616D" w:rsidRDefault="00A70E10" w:rsidP="00A3616D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A3616D">
        <w:rPr>
          <w:rFonts w:ascii="Arial" w:hAnsi="Arial" w:cs="Arial"/>
          <w:b/>
          <w:bCs/>
          <w:color w:val="00000A"/>
          <w:sz w:val="24"/>
          <w:szCs w:val="24"/>
        </w:rPr>
        <w:t xml:space="preserve">ТЕПЛОНОСИТЕЛЯ КОТЕЛЬНЫХ ООО </w:t>
      </w:r>
      <w:r w:rsidR="00D6496A" w:rsidRPr="00A3616D">
        <w:rPr>
          <w:rFonts w:ascii="Arial" w:hAnsi="Arial" w:cs="Arial"/>
          <w:color w:val="00000A"/>
          <w:sz w:val="24"/>
          <w:szCs w:val="24"/>
        </w:rPr>
        <w:t>«Люкс»</w:t>
      </w:r>
    </w:p>
    <w:p w:rsidR="00A70E10" w:rsidRPr="00A3616D" w:rsidRDefault="00A70E10" w:rsidP="00A3616D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9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454"/>
        <w:gridCol w:w="1425"/>
        <w:gridCol w:w="1800"/>
        <w:gridCol w:w="1980"/>
        <w:gridCol w:w="1636"/>
        <w:gridCol w:w="1659"/>
      </w:tblGrid>
      <w:tr w:rsidR="00A70E10" w:rsidRPr="00A3616D">
        <w:trPr>
          <w:trHeight w:val="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Температура наружного воздуха 0 гр.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Температура подающей воды 0 град.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Температура обратной воды 0 град.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Температура </w:t>
            </w:r>
            <w:proofErr w:type="spellStart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наружнего</w:t>
            </w:r>
            <w:proofErr w:type="spellEnd"/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 xml:space="preserve"> воздуха 0 град.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Температура подающей воды 0 град.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Температура обратной воды 0 град.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</w:rPr>
              <w:t>До+8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55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56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57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58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center" w:pos="619"/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59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+1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64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89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-39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69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-42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-19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lastRenderedPageBreak/>
              <w:t>-20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0E10" w:rsidRPr="00A3616D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-22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16D">
              <w:rPr>
                <w:rFonts w:ascii="Arial" w:hAnsi="Arial" w:cs="Arial"/>
                <w:color w:val="00000A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Pr="00A3616D" w:rsidRDefault="00A70E10" w:rsidP="00A3616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E10" w:rsidRPr="00A3616D" w:rsidRDefault="00A70E10" w:rsidP="00A3616D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616D">
        <w:rPr>
          <w:rFonts w:ascii="Arial" w:hAnsi="Arial" w:cs="Arial"/>
          <w:color w:val="00000A"/>
          <w:sz w:val="24"/>
          <w:szCs w:val="24"/>
        </w:rPr>
        <w:t>Примечание:При</w:t>
      </w:r>
      <w:proofErr w:type="spellEnd"/>
      <w:r w:rsidRPr="00A3616D">
        <w:rPr>
          <w:rFonts w:ascii="Arial" w:hAnsi="Arial" w:cs="Arial"/>
          <w:color w:val="00000A"/>
          <w:sz w:val="24"/>
          <w:szCs w:val="24"/>
        </w:rPr>
        <w:t xml:space="preserve"> несоответствии температуры обратной воды графику, следует принимать меры по устранению неисправности в </w:t>
      </w:r>
      <w:proofErr w:type="spellStart"/>
      <w:proofErr w:type="gramStart"/>
      <w:r w:rsidRPr="00A3616D">
        <w:rPr>
          <w:rFonts w:ascii="Arial" w:hAnsi="Arial" w:cs="Arial"/>
          <w:color w:val="00000A"/>
          <w:sz w:val="24"/>
          <w:szCs w:val="24"/>
        </w:rPr>
        <w:t>в</w:t>
      </w:r>
      <w:proofErr w:type="spellEnd"/>
      <w:proofErr w:type="gramEnd"/>
      <w:r w:rsidRPr="00A3616D">
        <w:rPr>
          <w:rFonts w:ascii="Arial" w:hAnsi="Arial" w:cs="Arial"/>
          <w:color w:val="00000A"/>
          <w:sz w:val="24"/>
          <w:szCs w:val="24"/>
        </w:rPr>
        <w:t xml:space="preserve"> системе отопления.</w:t>
      </w:r>
    </w:p>
    <w:sectPr w:rsidR="00A70E10" w:rsidRPr="00A3616D" w:rsidSect="00A3616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E4D"/>
    <w:rsid w:val="00042D7E"/>
    <w:rsid w:val="00044ABF"/>
    <w:rsid w:val="001463AD"/>
    <w:rsid w:val="00155345"/>
    <w:rsid w:val="00171206"/>
    <w:rsid w:val="00206345"/>
    <w:rsid w:val="00290E59"/>
    <w:rsid w:val="002E310A"/>
    <w:rsid w:val="002E4170"/>
    <w:rsid w:val="0032506A"/>
    <w:rsid w:val="00376DB3"/>
    <w:rsid w:val="0039257D"/>
    <w:rsid w:val="003C7BD2"/>
    <w:rsid w:val="003D0DCD"/>
    <w:rsid w:val="00403E8C"/>
    <w:rsid w:val="004C6008"/>
    <w:rsid w:val="004E69BE"/>
    <w:rsid w:val="00500D66"/>
    <w:rsid w:val="00572217"/>
    <w:rsid w:val="005F02DD"/>
    <w:rsid w:val="006664F0"/>
    <w:rsid w:val="007214ED"/>
    <w:rsid w:val="007251BD"/>
    <w:rsid w:val="007A5BDA"/>
    <w:rsid w:val="0082180F"/>
    <w:rsid w:val="00850C70"/>
    <w:rsid w:val="00885CF7"/>
    <w:rsid w:val="008A407D"/>
    <w:rsid w:val="008C14AF"/>
    <w:rsid w:val="00934AD0"/>
    <w:rsid w:val="009570EF"/>
    <w:rsid w:val="0099157C"/>
    <w:rsid w:val="00A3616D"/>
    <w:rsid w:val="00A70E10"/>
    <w:rsid w:val="00AB164D"/>
    <w:rsid w:val="00BD3C3B"/>
    <w:rsid w:val="00C21B9E"/>
    <w:rsid w:val="00C42B7D"/>
    <w:rsid w:val="00C42E4D"/>
    <w:rsid w:val="00C51382"/>
    <w:rsid w:val="00C66B07"/>
    <w:rsid w:val="00D23920"/>
    <w:rsid w:val="00D44B20"/>
    <w:rsid w:val="00D6496A"/>
    <w:rsid w:val="00DD3BE1"/>
    <w:rsid w:val="00E0628E"/>
    <w:rsid w:val="00E3219B"/>
    <w:rsid w:val="00E541D3"/>
    <w:rsid w:val="00F554CC"/>
    <w:rsid w:val="00FC75D8"/>
    <w:rsid w:val="00FE4115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2D7E"/>
    <w:rPr>
      <w:rFonts w:eastAsia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42D7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2021-06-11T03:39:00Z</cp:lastPrinted>
  <dcterms:created xsi:type="dcterms:W3CDTF">2018-04-05T07:45:00Z</dcterms:created>
  <dcterms:modified xsi:type="dcterms:W3CDTF">2021-07-14T03:26:00Z</dcterms:modified>
</cp:coreProperties>
</file>