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A8" w:rsidRDefault="00933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39A8" w:rsidRDefault="00933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39A8" w:rsidRDefault="0075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9339A8" w:rsidRDefault="0075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ИМИССКИЙ СЕЛЬСКИЙ СОВЕТ ДЕПУТАТОВ</w:t>
      </w:r>
    </w:p>
    <w:p w:rsidR="009339A8" w:rsidRDefault="0075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КУРАГИНСКОГО РАЙОНА</w:t>
      </w:r>
    </w:p>
    <w:p w:rsidR="009339A8" w:rsidRDefault="0075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КРАЯ</w:t>
      </w:r>
    </w:p>
    <w:p w:rsidR="009339A8" w:rsidRDefault="0075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9339A8" w:rsidRDefault="00933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27.12.2021 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№ 11-42-р</w:t>
      </w:r>
    </w:p>
    <w:p w:rsidR="009339A8" w:rsidRDefault="009339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бюджете 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год и плановый период 2023-2024 годов</w:t>
      </w:r>
    </w:p>
    <w:p w:rsidR="009339A8" w:rsidRDefault="00933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подпункта 2 пункта 1 статьи 23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сельсовет, ст.12,13 главы 3, главы 4 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сельсовет, утверждённого решением сельского Совета депутатов от 15.04.2016 № 08-30-р, сельский Совет депутатов </w:t>
      </w:r>
      <w:r>
        <w:rPr>
          <w:rFonts w:ascii="Times New Roman" w:eastAsia="Times New Roman" w:hAnsi="Times New Roman" w:cs="Times New Roman"/>
          <w:b/>
          <w:sz w:val="28"/>
        </w:rPr>
        <w:t>РЕШИЛ</w:t>
      </w:r>
      <w:r>
        <w:rPr>
          <w:rFonts w:ascii="Times New Roman" w:eastAsia="Times New Roman" w:hAnsi="Times New Roman" w:cs="Times New Roman"/>
          <w:sz w:val="28"/>
        </w:rPr>
        <w:t xml:space="preserve">:       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  Утвердить основные характеристики бюджета (далее – местного бюджета) на 2022 год: </w:t>
      </w:r>
    </w:p>
    <w:p w:rsidR="009339A8" w:rsidRDefault="007519F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1.1. прогнозируемый общий объём доходов местного бюджета в сумме 8252,8 тыс. рублей;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1.2. общий объём расходов местного бюджета в сумме 8272,8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1.3. дефицит местного бюджета в сумме 20,0 тыс. рублей;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1.4. источники внутреннего финансирования дефицита местного бюджета в сумме 20,0 тыс. рублей согласно приложению 1 к настоящему решению.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2. Нормативы распределения доходов между бюджетами бюджетной системы устанавливаются Бюджетным кодексом Российской Федерации, Федеральным законом "О федеральном бюджете на 2022 год", законом Красноярского края "О краевом бюджете на 2021 год и плановый период 2023-2024 годов", законом Красноярского края "О межбюджетных отношениях в Красноярском крае".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 Утвердить основные  характеристики бюджета на 2023 год и на 2024 год: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3.1. прогнозируемый общий объём доходов местного бюджета на 2023 год в сумме 7082,2 тыс. рублей и на 2024 год в сумме 6954,2тыс. рублей;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3.2. общий  объём расходов местного бюджета на 2023 год в сумме  7102,2 тыс. рублей, в том числе условно утвержденные расходы в сумме 135,0 тыс. рублей, и на 2024 год в сумме 6974,2 тыс. рублей, в том числе условно утвержденные расходы в сумме 271,0 тыс. рублей;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3.3. дефицит местного бюджета на 2023 год в сумме 20,0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 и на 2024 год в сумме 20,0 тыс.рублей;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3.4. источники внутреннего финансирования дефицита местного бюджета на 2023 год в сумме 20,0 тыс. рублей и на 2024 год в сумме 20,0 тыс. рублей согласно приложению 1 к настоящему решению.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Утвердить доходы местного бюджета на 2022 год и плановый период 2023-2024 годов  согласно приложению 4 к настоящему решения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 Утвердить в пределах общего объема расходов, установленного пунктом 1 настоящего решения: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5.1. 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9339A8" w:rsidRDefault="007519F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5.2. ведомственную структуру расходов местного бюджета на 2022 год согласно приложению 4 к настоящему решению;</w:t>
      </w:r>
    </w:p>
    <w:p w:rsidR="009339A8" w:rsidRDefault="007519F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5.3. ведомственную структуру расходов местного бюджета на плановый период 2023-2024 годов согласно приложению 5 к настоящему решению;</w:t>
      </w:r>
    </w:p>
    <w:p w:rsidR="009339A8" w:rsidRDefault="007519FF">
      <w:pPr>
        <w:tabs>
          <w:tab w:val="left" w:pos="90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5.4.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2022 год согласно приложению 6 к настоящему решению;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5.5. распределение бюджетных ассигнований по целевым статьям (муниципальным программам бюджета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плановый период 2032-2024 годов согласно приложению 7 к настоящему решению.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6. Утвердить программу муниципальных внутренних заимствований согласно приложению 10 к настоящему решению.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7. Установить, что глава администрации вправе в ходе исполнения настоящего решения вносить изменения в сводную бюджетную роспись  местного бюджета на 2022 год и плановый период 2023-2024 годов без внесения изменений в настоящее решение: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7.1.  на сумму межбюджетных трансфертов, предоставляемых из районного бюджета на  основании решений, постановлений, распоряжений органов местного самоуправления района и уведомлений финансового управления о выделении финансовой помощи на осуществление отдельных целевых расходов;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7.2. на сумму средств межбюджетных трансфертов, передаваемых в районный бюджет на основании соглашений о передаче части полномочий;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7.3.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муниципальных услуг, исполняемых функций и численности  в пределах общего объёма средств, предусмотренных  настоящим решением;</w:t>
      </w:r>
    </w:p>
    <w:p w:rsidR="009339A8" w:rsidRDefault="007519F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7.4.  на сумму доходов, дополнительно полученных от платных услуг, оказываемых муниципальными казёнными учреждениями, компенсации затрат получателями бюджетных средств и прочих безвозмездных перечислений по предпринимательской и иной приносящей доход деятельности, сверх утверждённых настоящим решением и сметы доходов и расходов.</w:t>
      </w:r>
      <w:proofErr w:type="gramEnd"/>
    </w:p>
    <w:p w:rsidR="009339A8" w:rsidRDefault="007519F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8.  Повышение заработной платы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также  работников муниципальных учреждений и работников органов местного самоуправления, не являющимися лицами, замещающими муниципальные должности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и муниципальных служащих запланировано с 01 октября 2022 года на 4%.  Заработная плата работников муниципальных учреждений и работников органов местного самоуправления, </w:t>
      </w:r>
      <w:proofErr w:type="gramStart"/>
      <w:r>
        <w:rPr>
          <w:rFonts w:ascii="Times New Roman" w:eastAsia="Times New Roman" w:hAnsi="Times New Roman" w:cs="Times New Roman"/>
          <w:sz w:val="28"/>
        </w:rPr>
        <w:t>не являющимися лицами, замещающими муниципальные должности и муниципальных служащих с учетом региональных выплаты и выплат, обеспечивающих уровень заработной платы работников бюджетной сферы не ниже размера минимальной заработной платы.</w:t>
      </w:r>
      <w:proofErr w:type="gramEnd"/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9. Общая штатная численность работников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сельсовета, принятая к финансовому обеспечению в 2022 году составляет 5,65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а так же глав муниципальных образований -  4,0 штатные единицы.</w:t>
      </w:r>
    </w:p>
    <w:p w:rsidR="009339A8" w:rsidRDefault="007519F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10.  Установить, что не использованные по состоянию на 1 января 2022 года остатки межбюджетных трансфертов, предоставленные за счёт средств федерального и краевого бюджета, имеющие целевое назначение, подлежат возврату в районный бюджет в течение первых пяти рабочих дней 2022 года.</w:t>
      </w:r>
    </w:p>
    <w:p w:rsidR="009339A8" w:rsidRDefault="007519FF">
      <w:p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11.  Межбюджетные трансферты бюджету муниципального района из бюджета поселения на осуществления части полномочий по решению вопросов местного значения, в соответствии с заключенными соглашениями на 2022 год </w:t>
      </w:r>
      <w:r>
        <w:rPr>
          <w:rFonts w:ascii="Times New Roman" w:eastAsia="Times New Roman" w:hAnsi="Times New Roman" w:cs="Times New Roman"/>
          <w:sz w:val="28"/>
        </w:rPr>
        <w:br/>
        <w:t>согласно приложению 10 к настоящему решению.</w:t>
      </w:r>
    </w:p>
    <w:p w:rsidR="009339A8" w:rsidRDefault="00751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12.  Учесть в местном бюджете безвозмездные поступления  на 2022 год в сумме 7289,9 тыс. рублей, на 2023 год в сумме 6102,8 тыс. рублей, на 2024 год в сумме 5956,3 тыс. рублей  согласно приложению 9 к настоящему решению.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13. Учесть в расходах местного бюджета: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13.1  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на 2022 год в сумме 3,0 тыс. рублей и плановый 2023 год в сумме 3,0 тыс. рублей, 2024 год в сумме 3,0 тыс. рублей;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>13.2  ассигнования на формирование муниципального дорожного фонда в размере отчислений от поступления доходов местного бюджета от акцизов на нефтепродукты на 2022 год в сумме 482,9 тыс. рублей, плановый период 2023 год в сумме 494,4 тыс. рублей, 2024 год в сумме 507,9 тыс. рублей, субсидии на формирование муниципальных дорожных фондов на 2022 год в сумме 89,5 тыс. рублей и субсидии 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капитальный ремонт дорог общего пользования местного значения за счет средств дорожного фонда Красноярского края на 2022 год в сумме 1436,2 тыс. рублей, плановый период 2023 год в сумме 1436,2 тыс. рублей, 2024 год в сумме 1436,2 тыс. рублей. Учесть в расходах муниципального дорожного фонда  средства на проведение оценки технического состояния автомобильных дорог на территории МО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в сумме 30,0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13.3 ассигнования, направленные на исполнение публичных нормативных обязательств на 2022 год в сумме 0,00 тыс. рублей, на плановый 2023 год в сумме 0,00 тыс. рублей, на 2024 год в сумме 0,00 тыс. рублей. 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13.4 установить верхний предел муниципального внутреннего долга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сельсовета: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января 2023 года в сумме 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в том числе по муниципальным гарантиям 0,0 тыс.рублей;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1 января 2024 года в сумме 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в том числе по муниципальным гарантиям 0,0 тыс.рублей;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 1 января 2025 года в сумме 0,0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ублей, в том числе по муниципальным гарантиям 0,0 тыс.рублей;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Установить предельный объем муниципального долга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сельсовета: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2022 год в сумме  722,3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2023 год в сумме   737,0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ублей;</w:t>
      </w:r>
    </w:p>
    <w:p w:rsidR="009339A8" w:rsidRDefault="007519F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2024 год в сумме   742,0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ублей.</w:t>
      </w:r>
    </w:p>
    <w:p w:rsidR="009339A8" w:rsidRDefault="007519FF">
      <w:pPr>
        <w:tabs>
          <w:tab w:val="left" w:pos="709"/>
        </w:tabs>
        <w:suppressAutoHyphens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отделением №39 Управления Федерального Казначейства по Красноярскому краю через открытие и ведение лицевого счета местного бюджета.</w:t>
      </w:r>
    </w:p>
    <w:p w:rsidR="009339A8" w:rsidRDefault="007519FF">
      <w:pPr>
        <w:suppressAutoHyphens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Исполнение местного бюджета в части санкционирования оплаты денежных обязательств, открытия и ведения лицевых счетов осуществляется отделением №39 Федерального казначейства по Красноярскому краю на основании соглашения, заключенного между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сельсовета  и Управлением Федерального Казначейства по Красноярскому краю.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15.  Остатки средств местного бюджета на 1 января 2022 года в полном объёме  направляются на покрытие временных кассовых разрывов, возникающих в ходе исполнения местного бюджета в 2022 году, за исключением неиспользованных остатков межбюджетных трансфертов, имеющих целевое назначение.</w:t>
      </w:r>
    </w:p>
    <w:p w:rsidR="009339A8" w:rsidRDefault="007519F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>16. Настоящее решение вступает в силу в день, следующий за днем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Имисские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зори». </w:t>
      </w:r>
    </w:p>
    <w:p w:rsidR="009339A8" w:rsidRDefault="009339A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39A8" w:rsidRDefault="009339A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39A8" w:rsidRDefault="009339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сельского Совета депутатов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Пергаев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С.А.    </w:t>
      </w:r>
    </w:p>
    <w:p w:rsidR="009339A8" w:rsidRDefault="009339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9339A8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сельсовета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Зоткин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                       </w:t>
      </w:r>
    </w:p>
    <w:p w:rsidR="009339A8" w:rsidRDefault="009339A8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835"/>
        <w:gridCol w:w="2976"/>
        <w:gridCol w:w="1134"/>
        <w:gridCol w:w="993"/>
        <w:gridCol w:w="1134"/>
      </w:tblGrid>
      <w:tr w:rsidR="007519FF" w:rsidRPr="007519FF" w:rsidTr="007519FF">
        <w:trPr>
          <w:trHeight w:val="1890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G39"/>
            <w:bookmarkEnd w:id="0"/>
            <w:r w:rsidRPr="007519FF">
              <w:rPr>
                <w:rFonts w:ascii="Times New Roman" w:eastAsia="Times New Roman" w:hAnsi="Times New Roman" w:cs="Times New Roman"/>
              </w:rPr>
              <w:t>Приложение № 1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сельского Совета депутатов </w:t>
            </w:r>
          </w:p>
          <w:p w:rsid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27.12.2021 г </w:t>
            </w:r>
            <w:r w:rsidRPr="007519FF">
              <w:rPr>
                <w:rFonts w:ascii="Times New Roman" w:eastAsia="Times New Roman" w:hAnsi="Times New Roman" w:cs="Times New Roman"/>
              </w:rPr>
              <w:t xml:space="preserve"> № 11-42-р </w:t>
            </w:r>
          </w:p>
          <w:p w:rsid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"О бюджете  муниципального образования </w:t>
            </w:r>
          </w:p>
          <w:p w:rsid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сельсовет на 2022 год </w:t>
            </w:r>
          </w:p>
          <w:p w:rsidR="007519FF" w:rsidRP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 плановый период 2023-2024 годов"</w:t>
            </w:r>
          </w:p>
        </w:tc>
      </w:tr>
      <w:tr w:rsidR="007519FF" w:rsidRPr="007519FF" w:rsidTr="007519FF">
        <w:trPr>
          <w:trHeight w:val="821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519FF" w:rsidRPr="007519FF" w:rsidRDefault="007519FF" w:rsidP="007519F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7519FF" w:rsidRDefault="007519FF" w:rsidP="007519F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внутреннего финансирования дефицита местного бюджета на 2022 год </w:t>
            </w:r>
          </w:p>
          <w:p w:rsidR="007519FF" w:rsidRPr="007519FF" w:rsidRDefault="007519FF" w:rsidP="007519FF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 плановый период 2023-2024 годов</w:t>
            </w:r>
          </w:p>
        </w:tc>
      </w:tr>
      <w:tr w:rsidR="007519FF" w:rsidRPr="007519FF" w:rsidTr="007519FF">
        <w:trPr>
          <w:trHeight w:val="315"/>
        </w:trPr>
        <w:tc>
          <w:tcPr>
            <w:tcW w:w="9606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7519FF" w:rsidRPr="007519FF" w:rsidTr="007519FF">
        <w:trPr>
          <w:trHeight w:val="2520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83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2022 год</w:t>
            </w:r>
          </w:p>
        </w:tc>
        <w:tc>
          <w:tcPr>
            <w:tcW w:w="993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2023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2024 год</w:t>
            </w:r>
          </w:p>
        </w:tc>
      </w:tr>
      <w:tr w:rsidR="007519FF" w:rsidRPr="007519FF" w:rsidTr="007519FF">
        <w:trPr>
          <w:trHeight w:val="315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9FF" w:rsidRPr="007519FF" w:rsidTr="007519FF">
        <w:trPr>
          <w:trHeight w:val="945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816 00 00 00 00 00 0000 000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816 01 05 00 00 00 0000 000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  <w:tr w:rsidR="007519FF" w:rsidRPr="007519FF" w:rsidTr="007519FF">
        <w:trPr>
          <w:trHeight w:val="315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816 01 05 00 00 00 0000 500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-8 252,8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-7 082,2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-6 954,2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816 01 05 02 00 00 0000 500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-8 252,8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-7 082,2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-6 954,2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816 01 05 02 01 00 0000 510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-8 252,8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-7 082,2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-6 954,2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816 01 05 02 01 10 0000 510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-8 252,8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-7 082,2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-6 954,2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816 01 05 00 00 00 0000 600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8 272,8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7 102,2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6 974,2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816 01 05 02 00 00 0000 600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8 272,8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7 102,2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6 974,2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816 01 05 02 01 00 0000 610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8 272,8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7 102,2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6 974,2</w:t>
            </w:r>
          </w:p>
        </w:tc>
      </w:tr>
      <w:tr w:rsidR="007519FF" w:rsidRPr="007519FF" w:rsidTr="007519FF">
        <w:trPr>
          <w:trHeight w:val="6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83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816 01 05 02 01 05 0000 610</w:t>
            </w:r>
          </w:p>
        </w:tc>
        <w:tc>
          <w:tcPr>
            <w:tcW w:w="297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8 272,8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7 102,2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6 974,2</w:t>
            </w:r>
          </w:p>
        </w:tc>
      </w:tr>
      <w:tr w:rsidR="007519FF" w:rsidRPr="007519FF" w:rsidTr="007519FF">
        <w:trPr>
          <w:trHeight w:val="315"/>
        </w:trPr>
        <w:tc>
          <w:tcPr>
            <w:tcW w:w="6345" w:type="dxa"/>
            <w:gridSpan w:val="3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  <w:tc>
          <w:tcPr>
            <w:tcW w:w="11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20,0</w:t>
            </w:r>
          </w:p>
        </w:tc>
      </w:tr>
    </w:tbl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67"/>
        <w:gridCol w:w="283"/>
        <w:gridCol w:w="567"/>
        <w:gridCol w:w="567"/>
        <w:gridCol w:w="567"/>
        <w:gridCol w:w="567"/>
        <w:gridCol w:w="709"/>
        <w:gridCol w:w="567"/>
        <w:gridCol w:w="2410"/>
        <w:gridCol w:w="992"/>
        <w:gridCol w:w="850"/>
        <w:gridCol w:w="993"/>
      </w:tblGrid>
      <w:tr w:rsidR="007519FF" w:rsidRPr="007519FF" w:rsidTr="007519FF">
        <w:trPr>
          <w:trHeight w:val="2385"/>
        </w:trPr>
        <w:tc>
          <w:tcPr>
            <w:tcW w:w="101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bookmarkStart w:id="1" w:name="RANGE!A1:M62"/>
            <w:bookmarkEnd w:id="1"/>
            <w:r w:rsidRPr="007519FF">
              <w:rPr>
                <w:rFonts w:ascii="Times New Roman" w:eastAsia="Times New Roman" w:hAnsi="Times New Roman" w:cs="Times New Roman"/>
              </w:rPr>
              <w:t>Приложение № 2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сельского Совета депутатов</w:t>
            </w:r>
          </w:p>
          <w:p w:rsidR="001B3326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 от 27.12.2021 г, № 11-42-р </w:t>
            </w:r>
          </w:p>
          <w:p w:rsidR="001B3326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"О бюджете  муниципального образования</w:t>
            </w:r>
          </w:p>
          <w:p w:rsidR="001B3326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сельсовет на 2022 год </w:t>
            </w:r>
          </w:p>
          <w:p w:rsidR="007519FF" w:rsidRDefault="007519FF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 плановый период 2023-2024 годов"</w:t>
            </w:r>
          </w:p>
          <w:p w:rsidR="001B3326" w:rsidRDefault="001B3326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B3326" w:rsidRPr="007519FF" w:rsidRDefault="001B3326" w:rsidP="007519FF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519FF" w:rsidRPr="007519FF" w:rsidRDefault="001B3326" w:rsidP="001B332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местного бюджета на 202</w:t>
            </w:r>
            <w:r w:rsidR="007519FF" w:rsidRPr="007519FF">
              <w:rPr>
                <w:rFonts w:ascii="Times New Roman" w:eastAsia="Times New Roman" w:hAnsi="Times New Roman" w:cs="Times New Roman"/>
              </w:rPr>
              <w:t>2 год и плановый период 2023-2024 г.</w:t>
            </w:r>
          </w:p>
        </w:tc>
      </w:tr>
      <w:tr w:rsidR="007519FF" w:rsidRPr="007519FF" w:rsidTr="007519FF">
        <w:trPr>
          <w:trHeight w:val="405"/>
        </w:trPr>
        <w:tc>
          <w:tcPr>
            <w:tcW w:w="10173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7519FF" w:rsidRPr="007519FF" w:rsidRDefault="007519FF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7519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19FF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7519FF" w:rsidRPr="007519FF" w:rsidTr="007519FF">
        <w:trPr>
          <w:trHeight w:val="345"/>
        </w:trPr>
        <w:tc>
          <w:tcPr>
            <w:tcW w:w="534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№  строки</w:t>
            </w:r>
          </w:p>
        </w:tc>
        <w:tc>
          <w:tcPr>
            <w:tcW w:w="4394" w:type="dxa"/>
            <w:gridSpan w:val="8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2022 год</w:t>
            </w:r>
          </w:p>
        </w:tc>
        <w:tc>
          <w:tcPr>
            <w:tcW w:w="850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2023 год</w:t>
            </w:r>
          </w:p>
        </w:tc>
        <w:tc>
          <w:tcPr>
            <w:tcW w:w="993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Утверждено на 2024 год</w:t>
            </w:r>
          </w:p>
        </w:tc>
      </w:tr>
      <w:tr w:rsidR="007519FF" w:rsidRPr="007519FF" w:rsidTr="007519FF">
        <w:trPr>
          <w:trHeight w:val="390"/>
        </w:trPr>
        <w:tc>
          <w:tcPr>
            <w:tcW w:w="534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группы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подгруппы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статьи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подстатьи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элемента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группы подвида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код аналитической группы подвида</w:t>
            </w:r>
          </w:p>
        </w:tc>
        <w:tc>
          <w:tcPr>
            <w:tcW w:w="2410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Наименование кода классификации доходов бюджета</w:t>
            </w:r>
          </w:p>
        </w:tc>
        <w:tc>
          <w:tcPr>
            <w:tcW w:w="992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7519FF" w:rsidRPr="007519FF" w:rsidTr="007519FF">
        <w:trPr>
          <w:trHeight w:val="690"/>
        </w:trPr>
        <w:tc>
          <w:tcPr>
            <w:tcW w:w="534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7519FF" w:rsidRPr="007519FF" w:rsidTr="007519FF">
        <w:trPr>
          <w:trHeight w:val="31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519FF" w:rsidRPr="007519FF" w:rsidTr="007519FF">
        <w:trPr>
          <w:trHeight w:val="31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ДОХОДЫ ВСЕГО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8252,8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7082,2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6954,2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962,9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979,4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997,9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19FF" w:rsidRPr="007519FF" w:rsidTr="007519FF">
        <w:trPr>
          <w:trHeight w:val="15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210,0</w:t>
            </w:r>
          </w:p>
        </w:tc>
      </w:tr>
      <w:tr w:rsidR="007519FF" w:rsidRPr="007519FF" w:rsidTr="007519FF">
        <w:trPr>
          <w:trHeight w:val="76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НАЛОГИ  НА  ТОВАРЫ   (РАБОТЫ,   УСЛУГИ), РЕАЛИЗУЕМЫЕ  НА  ТЕРРИТОРИИ   РОССИЙСКОЙ ФЕДЕРАЦИИ   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482,9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494,4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507,9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482,9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494,4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507,9</w:t>
            </w:r>
          </w:p>
        </w:tc>
      </w:tr>
      <w:tr w:rsidR="007519FF" w:rsidRPr="007519FF" w:rsidTr="007519FF">
        <w:trPr>
          <w:trHeight w:val="255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218,4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221,2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223,6</w:t>
            </w:r>
          </w:p>
        </w:tc>
      </w:tr>
      <w:tr w:rsidR="007519FF" w:rsidRPr="007519FF" w:rsidTr="007519FF">
        <w:trPr>
          <w:trHeight w:val="280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1,1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7519FF" w:rsidRPr="007519FF" w:rsidTr="007519FF">
        <w:trPr>
          <w:trHeight w:val="255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519FF">
              <w:rPr>
                <w:rFonts w:ascii="Times New Roman" w:eastAsia="Times New Roman" w:hAnsi="Times New Roman" w:cs="Times New Roman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290,8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299,4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311,7</w:t>
            </w:r>
          </w:p>
        </w:tc>
      </w:tr>
      <w:tr w:rsidR="007519FF" w:rsidRPr="007519FF" w:rsidTr="007519FF">
        <w:trPr>
          <w:trHeight w:val="232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-27,4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-27,3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-28,7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19FF" w:rsidRPr="007519FF" w:rsidTr="007519FF">
        <w:trPr>
          <w:trHeight w:val="106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7519FF" w:rsidRPr="007519FF" w:rsidTr="007519FF">
        <w:trPr>
          <w:trHeight w:val="8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110,0</w:t>
            </w:r>
          </w:p>
        </w:tc>
      </w:tr>
      <w:tr w:rsidR="007519FF" w:rsidRPr="007519FF" w:rsidTr="007519FF">
        <w:trPr>
          <w:trHeight w:val="54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19FF" w:rsidRPr="007519FF" w:rsidTr="007519FF">
        <w:trPr>
          <w:trHeight w:val="91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Земельный налог с физических лиц, обладающих земельным участком, расположенным в </w:t>
            </w:r>
            <w:r w:rsidRPr="007519FF">
              <w:rPr>
                <w:rFonts w:ascii="Times New Roman" w:eastAsia="Times New Roman" w:hAnsi="Times New Roman" w:cs="Times New Roman"/>
              </w:rPr>
              <w:lastRenderedPageBreak/>
              <w:t>границах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80,0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19FF" w:rsidRPr="007519FF" w:rsidTr="007519FF">
        <w:trPr>
          <w:trHeight w:val="102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19FF" w:rsidRPr="007519FF" w:rsidTr="007519FF">
        <w:trPr>
          <w:trHeight w:val="14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28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7289,9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6102,8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5956,3</w:t>
            </w:r>
          </w:p>
        </w:tc>
      </w:tr>
      <w:tr w:rsidR="007519FF" w:rsidRPr="007519FF" w:rsidTr="007519FF">
        <w:trPr>
          <w:trHeight w:val="76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7289,9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6102,8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5956,3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3084,3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</w:tr>
      <w:tr w:rsidR="007519FF" w:rsidRPr="007519FF" w:rsidTr="007519FF">
        <w:trPr>
          <w:trHeight w:val="54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3084,3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3084,3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2467,5</w:t>
            </w:r>
          </w:p>
        </w:tc>
      </w:tr>
      <w:tr w:rsidR="007519FF" w:rsidRPr="007519FF" w:rsidTr="007519FF">
        <w:trPr>
          <w:trHeight w:val="76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</w:tr>
      <w:tr w:rsidR="007519FF" w:rsidRPr="007519FF" w:rsidTr="007519FF">
        <w:trPr>
          <w:trHeight w:val="402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</w:tr>
      <w:tr w:rsidR="007519FF" w:rsidRPr="007519FF" w:rsidTr="007519FF">
        <w:trPr>
          <w:trHeight w:val="402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1533,0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7412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7519FF" w:rsidRPr="007519FF" w:rsidTr="007519FF">
        <w:trPr>
          <w:trHeight w:val="102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7509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Субсидия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7519FF" w:rsidRPr="007519FF" w:rsidTr="007519FF">
        <w:trPr>
          <w:trHeight w:val="102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7641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Субсидия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51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146,4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152,9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7519FF" w:rsidRPr="007519FF" w:rsidTr="007519FF">
        <w:trPr>
          <w:trHeight w:val="90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7519FF" w:rsidRPr="007519FF" w:rsidTr="007519FF">
        <w:trPr>
          <w:trHeight w:val="180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7514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>(по созданию и обеспечению деятельности административных комиссий)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7519FF" w:rsidRPr="007519FF" w:rsidTr="007519FF">
        <w:trPr>
          <w:trHeight w:val="87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45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117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25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2526,2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</w:tr>
      <w:tr w:rsidR="007519FF" w:rsidRPr="007519FF" w:rsidTr="007519FF">
        <w:trPr>
          <w:trHeight w:val="79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2526,2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</w:tr>
      <w:tr w:rsidR="007519FF" w:rsidRPr="007519FF" w:rsidTr="007519FF">
        <w:trPr>
          <w:trHeight w:val="153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2526,2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1949,4</w:t>
            </w:r>
          </w:p>
        </w:tc>
      </w:tr>
      <w:tr w:rsidR="007519FF" w:rsidRPr="007519FF" w:rsidTr="007519FF">
        <w:trPr>
          <w:trHeight w:val="72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780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64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7519FF">
        <w:trPr>
          <w:trHeight w:val="705"/>
        </w:trPr>
        <w:tc>
          <w:tcPr>
            <w:tcW w:w="534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28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567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241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93"/>
        <w:gridCol w:w="4025"/>
        <w:gridCol w:w="1170"/>
        <w:gridCol w:w="1409"/>
        <w:gridCol w:w="1766"/>
        <w:gridCol w:w="1528"/>
      </w:tblGrid>
      <w:tr w:rsidR="001B3326" w:rsidRPr="007519FF" w:rsidTr="001B3326">
        <w:trPr>
          <w:trHeight w:val="203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lastRenderedPageBreak/>
              <w:t>Приложение № 3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сельского Совета депутатов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от 27.12.2021 г, № 11-42-р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"О бюджете  муниципального образования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 xml:space="preserve"> сельсовет на 2022 год </w:t>
            </w:r>
          </w:p>
          <w:p w:rsidR="001B3326" w:rsidRPr="007519FF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и плановый период 2023-2024 годов"</w:t>
            </w:r>
          </w:p>
        </w:tc>
      </w:tr>
      <w:tr w:rsidR="001B3326" w:rsidRPr="007519FF" w:rsidTr="001B3326">
        <w:trPr>
          <w:trHeight w:val="960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Pr="007519FF" w:rsidRDefault="001B3326" w:rsidP="001B332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Распределение бюджетных ассигнований по разделам и 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>подразделам бюджетной классификации расходов бюджетов Российской Федерации</w:t>
            </w:r>
            <w:r w:rsidRPr="007519FF">
              <w:rPr>
                <w:rFonts w:ascii="Times New Roman" w:eastAsia="Times New Roman" w:hAnsi="Times New Roman" w:cs="Times New Roman"/>
              </w:rPr>
              <w:br/>
              <w:t>на 2022 год и плановый период 2023-2024 годы</w:t>
            </w:r>
          </w:p>
        </w:tc>
      </w:tr>
      <w:tr w:rsidR="001B3326" w:rsidRPr="007519FF" w:rsidTr="001B3326">
        <w:trPr>
          <w:trHeight w:val="595"/>
        </w:trPr>
        <w:tc>
          <w:tcPr>
            <w:tcW w:w="1059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1B3326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1B3326" w:rsidRPr="007519FF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519FF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7519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19FF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7519F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519FF" w:rsidRPr="007519FF" w:rsidTr="001B3326">
        <w:trPr>
          <w:trHeight w:val="630"/>
        </w:trPr>
        <w:tc>
          <w:tcPr>
            <w:tcW w:w="693" w:type="dxa"/>
            <w:vMerge w:val="restart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519F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519F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Наименование показателя бюджетной классификации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Раздел-подраздел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Сумма на  2022 год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Сумма на 2024 год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vMerge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2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6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8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0100 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3 120,2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3 189,2</w:t>
            </w:r>
          </w:p>
        </w:tc>
      </w:tr>
      <w:tr w:rsidR="007519FF" w:rsidRPr="007519FF" w:rsidTr="001B3326">
        <w:trPr>
          <w:trHeight w:val="1260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7519FF" w:rsidRPr="007519FF" w:rsidTr="001B3326">
        <w:trPr>
          <w:trHeight w:val="1890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2621,8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2113,3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2182,3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7519FF" w:rsidRPr="007519FF" w:rsidTr="001B3326">
        <w:trPr>
          <w:trHeight w:val="375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62,9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0200 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1B3326">
        <w:trPr>
          <w:trHeight w:val="630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1B3326">
        <w:trPr>
          <w:trHeight w:val="630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  <w:r w:rsidR="001B332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0300 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7519FF" w:rsidRPr="007519FF" w:rsidTr="001B3326">
        <w:trPr>
          <w:trHeight w:val="510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  <w:r w:rsidR="001B332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7519FF" w:rsidRPr="007519FF" w:rsidTr="001B3326">
        <w:trPr>
          <w:trHeight w:val="945"/>
        </w:trPr>
        <w:tc>
          <w:tcPr>
            <w:tcW w:w="693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  <w:r w:rsidR="001B332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0400 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2 008,6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1 930,6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1 944,1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2 008,6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1 930,6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1 944,1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0800 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2 225,6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2 225,6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0900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1B3326">
        <w:trPr>
          <w:trHeight w:val="630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519FF" w:rsidRPr="007519FF" w:rsidTr="001B3326">
        <w:trPr>
          <w:trHeight w:val="630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025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170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9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6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528" w:type="dxa"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271,0</w:t>
            </w:r>
          </w:p>
        </w:tc>
      </w:tr>
      <w:tr w:rsidR="007519FF" w:rsidRPr="007519FF" w:rsidTr="001B3326">
        <w:trPr>
          <w:trHeight w:val="315"/>
        </w:trPr>
        <w:tc>
          <w:tcPr>
            <w:tcW w:w="693" w:type="dxa"/>
            <w:noWrap/>
          </w:tcPr>
          <w:p w:rsidR="007519FF" w:rsidRPr="007519FF" w:rsidRDefault="001B3326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4025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70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19F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8 272,8</w:t>
            </w:r>
          </w:p>
        </w:tc>
        <w:tc>
          <w:tcPr>
            <w:tcW w:w="1766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7 102,2</w:t>
            </w:r>
          </w:p>
        </w:tc>
        <w:tc>
          <w:tcPr>
            <w:tcW w:w="1528" w:type="dxa"/>
            <w:noWrap/>
            <w:hideMark/>
          </w:tcPr>
          <w:p w:rsidR="007519FF" w:rsidRPr="007519FF" w:rsidRDefault="007519FF" w:rsidP="007519FF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7519FF">
              <w:rPr>
                <w:rFonts w:ascii="Times New Roman" w:eastAsia="Times New Roman" w:hAnsi="Times New Roman" w:cs="Times New Roman"/>
              </w:rPr>
              <w:t>6 974,2</w:t>
            </w:r>
          </w:p>
        </w:tc>
      </w:tr>
    </w:tbl>
    <w:p w:rsidR="007519FF" w:rsidRDefault="007519F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37"/>
        <w:gridCol w:w="1174"/>
        <w:gridCol w:w="1170"/>
        <w:gridCol w:w="1329"/>
        <w:gridCol w:w="1068"/>
        <w:gridCol w:w="1313"/>
      </w:tblGrid>
      <w:tr w:rsidR="001B3326" w:rsidRPr="001B3326" w:rsidTr="001B3326">
        <w:trPr>
          <w:trHeight w:val="1771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bookmarkStart w:id="2" w:name="RANGE!A1:F128"/>
            <w:bookmarkEnd w:id="2"/>
            <w:r w:rsidRPr="001B3326">
              <w:rPr>
                <w:rFonts w:ascii="Times New Roman" w:eastAsia="Times New Roman" w:hAnsi="Times New Roman" w:cs="Times New Roman"/>
              </w:rPr>
              <w:t>Приложение № 4</w:t>
            </w:r>
            <w:r w:rsidRPr="001B3326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сельского Совета депутатов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от 27.12.2021 г, № 11-42-р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"О бюджете  муниципального образования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 на 2022 год </w:t>
            </w:r>
          </w:p>
          <w:p w:rsidR="001B3326" w:rsidRP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 плановый период 2023-2024 годов"</w:t>
            </w:r>
          </w:p>
        </w:tc>
      </w:tr>
      <w:tr w:rsidR="001B3326" w:rsidRPr="001B3326" w:rsidTr="001B3326">
        <w:trPr>
          <w:trHeight w:val="555"/>
        </w:trPr>
        <w:tc>
          <w:tcPr>
            <w:tcW w:w="105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Pr="001B3326" w:rsidRDefault="001B3326" w:rsidP="001B332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Ведомственная структура расходов местного бюджета на 2022 год</w:t>
            </w:r>
          </w:p>
        </w:tc>
      </w:tr>
      <w:tr w:rsidR="001B3326" w:rsidRPr="001B3326" w:rsidTr="001B3326">
        <w:trPr>
          <w:trHeight w:val="315"/>
        </w:trPr>
        <w:tc>
          <w:tcPr>
            <w:tcW w:w="10591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1B3326" w:rsidRPr="001B3326" w:rsidTr="001B3326">
        <w:trPr>
          <w:trHeight w:val="9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Код ведомства 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Раздел-подраздел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Сумма на 2022 год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4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8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1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Имисского</w:t>
            </w:r>
            <w:proofErr w:type="spellEnd"/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сельсовета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8272,8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3628,7</w:t>
            </w:r>
          </w:p>
        </w:tc>
      </w:tr>
      <w:tr w:rsidR="001B3326" w:rsidRPr="001B3326" w:rsidTr="001B3326">
        <w:trPr>
          <w:trHeight w:val="51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главы муниципального образования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157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2621,8</w:t>
            </w:r>
          </w:p>
        </w:tc>
      </w:tr>
      <w:tr w:rsidR="001B3326" w:rsidRPr="001B3326" w:rsidTr="001B3326">
        <w:trPr>
          <w:trHeight w:val="10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Средства на частичную компенсацию расходов на повышение оплаты труда отдельным категориям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аботников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бюджетной сферы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165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9010010490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2165,8</w:t>
            </w:r>
          </w:p>
        </w:tc>
      </w:tr>
      <w:tr w:rsidR="001B3326" w:rsidRPr="001B3326" w:rsidTr="001B3326">
        <w:trPr>
          <w:trHeight w:val="157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69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9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157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3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62,9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Взносы в Совет муниципальных образований края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7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9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126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B3326" w:rsidRPr="001B3326" w:rsidTr="001B3326">
        <w:trPr>
          <w:trHeight w:val="126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lastRenderedPageBreak/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B3326" w:rsidRPr="001B3326" w:rsidTr="001B3326">
        <w:trPr>
          <w:trHeight w:val="157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1B3326" w:rsidRPr="001B3326" w:rsidTr="001B3326">
        <w:trPr>
          <w:trHeight w:val="7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Противодействие коррупции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2008,6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2008,6</w:t>
            </w:r>
          </w:p>
        </w:tc>
      </w:tr>
      <w:tr w:rsidR="001B3326" w:rsidRPr="001B3326" w:rsidTr="001B3326">
        <w:trPr>
          <w:trHeight w:val="30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9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67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Субсидия на капитальный ремонт дорог общего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7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7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7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81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42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69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68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68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42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64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9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9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42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40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lastRenderedPageBreak/>
              <w:t>Пенсии за выслугу лет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46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43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630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17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32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68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53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174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8272,8</w:t>
            </w:r>
          </w:p>
        </w:tc>
      </w:tr>
    </w:tbl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733" w:type="dxa"/>
        <w:tblLayout w:type="fixed"/>
        <w:tblLook w:val="04A0"/>
      </w:tblPr>
      <w:tblGrid>
        <w:gridCol w:w="4307"/>
        <w:gridCol w:w="887"/>
        <w:gridCol w:w="884"/>
        <w:gridCol w:w="1543"/>
        <w:gridCol w:w="652"/>
        <w:gridCol w:w="1263"/>
        <w:gridCol w:w="1197"/>
      </w:tblGrid>
      <w:tr w:rsidR="001B3326" w:rsidRPr="001B3326" w:rsidTr="001B3326">
        <w:trPr>
          <w:trHeight w:val="2277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lastRenderedPageBreak/>
              <w:t>Приложение № 4</w:t>
            </w:r>
            <w:r w:rsidRPr="001B3326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сельского Совета депутатов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от 27.12.2021 г, № 11-42-р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"О бюджете  муниципального образования </w:t>
            </w:r>
          </w:p>
          <w:p w:rsid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 на 2022 год </w:t>
            </w:r>
          </w:p>
          <w:p w:rsidR="001B3326" w:rsidRPr="001B3326" w:rsidRDefault="001B3326" w:rsidP="001B332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 плановый период 2023-2024 годов"</w:t>
            </w:r>
          </w:p>
        </w:tc>
      </w:tr>
      <w:tr w:rsidR="001B3326" w:rsidRPr="001B3326" w:rsidTr="001B3326">
        <w:trPr>
          <w:trHeight w:val="195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1B3326" w:rsidRPr="001B3326" w:rsidTr="001B3326">
        <w:trPr>
          <w:trHeight w:val="360"/>
        </w:trPr>
        <w:tc>
          <w:tcPr>
            <w:tcW w:w="1073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3326" w:rsidRPr="001B3326" w:rsidRDefault="001B3326" w:rsidP="001B332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Ведомственная структура расходов местного бюджета на плановый период 2023-2024 </w:t>
            </w:r>
            <w:proofErr w:type="spellStart"/>
            <w:proofErr w:type="gramStart"/>
            <w:r w:rsidRPr="001B3326">
              <w:rPr>
                <w:rFonts w:ascii="Times New Roman" w:eastAsia="Times New Roman" w:hAnsi="Times New Roman" w:cs="Times New Roman"/>
              </w:rPr>
              <w:t>гг</w:t>
            </w:r>
            <w:proofErr w:type="spellEnd"/>
            <w:proofErr w:type="gramEnd"/>
          </w:p>
        </w:tc>
      </w:tr>
      <w:tr w:rsidR="001B3326" w:rsidRPr="001B3326" w:rsidTr="001B3326">
        <w:trPr>
          <w:trHeight w:val="315"/>
        </w:trPr>
        <w:tc>
          <w:tcPr>
            <w:tcW w:w="10733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1B3326" w:rsidRPr="001B3326" w:rsidTr="001B3326">
        <w:trPr>
          <w:trHeight w:val="94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Наименование распорядителей и наименование показателей бюджетной классификации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Код ведомства 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Раздел-подраздел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Сумма на 2023 год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Сумма на 2024 год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84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7102,2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6974,2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7102,2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6974,2</w:t>
            </w:r>
          </w:p>
        </w:tc>
      </w:tr>
      <w:tr w:rsidR="001B3326" w:rsidRPr="001B3326" w:rsidTr="001B3326">
        <w:trPr>
          <w:trHeight w:val="75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3120,2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3189,2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главы муниципального образования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2113,3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2182,3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1692,3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1761,3</w:t>
            </w:r>
          </w:p>
        </w:tc>
      </w:tr>
      <w:tr w:rsidR="001B3326" w:rsidRPr="001B3326" w:rsidTr="001B3326">
        <w:trPr>
          <w:trHeight w:val="157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1642,3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1666,3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1642,3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1677,3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B3326" w:rsidRPr="001B3326" w:rsidTr="001B3326">
        <w:trPr>
          <w:trHeight w:val="94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1B3326" w:rsidRPr="001B3326" w:rsidTr="001B3326">
        <w:trPr>
          <w:trHeight w:val="157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фонды в рамках непрограммных расходов  органов власти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42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62,9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62,9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Взносы в Совет муниципальных образований края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7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6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Расхода по передаче полномочий в области юридической деятельности в рамках непрограммных расходов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94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Расхода по передаче полномочий в области внешнего муниципального контроля в рамках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126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126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расходов.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157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101,9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101,9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Противодействие коррупции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1930,6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1944,1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1930,6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1944,1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230,1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230,1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230,1</w:t>
            </w:r>
          </w:p>
        </w:tc>
      </w:tr>
      <w:tr w:rsidR="001B3326" w:rsidRPr="001B3326" w:rsidTr="001B3326">
        <w:trPr>
          <w:trHeight w:val="94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75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1436,3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1436,3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1436,3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1436,3</w:t>
            </w:r>
          </w:p>
        </w:tc>
      </w:tr>
      <w:tr w:rsidR="001B3326" w:rsidRPr="001B3326" w:rsidTr="001B3326">
        <w:trPr>
          <w:trHeight w:val="94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43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5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81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6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69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6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2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1B3326" w:rsidRPr="001B3326" w:rsidTr="001B3326">
        <w:trPr>
          <w:trHeight w:val="40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1B3326" w:rsidRPr="001B3326" w:rsidTr="001B3326">
        <w:trPr>
          <w:trHeight w:val="69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90810080620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1B3326" w:rsidRPr="001B3326" w:rsidTr="001B3326">
        <w:trPr>
          <w:trHeight w:val="39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90810080620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90810080620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0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40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Пенсии за выслугу лет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40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630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развитию физической культуры и массового спорта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88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4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19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271,0</w:t>
            </w:r>
          </w:p>
        </w:tc>
      </w:tr>
      <w:tr w:rsidR="001B3326" w:rsidRPr="001B3326" w:rsidTr="001B3326">
        <w:trPr>
          <w:trHeight w:val="315"/>
        </w:trPr>
        <w:tc>
          <w:tcPr>
            <w:tcW w:w="430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87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3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7102,2</w:t>
            </w:r>
          </w:p>
        </w:tc>
        <w:tc>
          <w:tcPr>
            <w:tcW w:w="1197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6974,2</w:t>
            </w:r>
          </w:p>
        </w:tc>
      </w:tr>
    </w:tbl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49"/>
        <w:gridCol w:w="1452"/>
        <w:gridCol w:w="1081"/>
        <w:gridCol w:w="1170"/>
        <w:gridCol w:w="1739"/>
      </w:tblGrid>
      <w:tr w:rsidR="00693B63" w:rsidRPr="001B3326" w:rsidTr="00693B63">
        <w:trPr>
          <w:trHeight w:val="640"/>
        </w:trPr>
        <w:tc>
          <w:tcPr>
            <w:tcW w:w="5149" w:type="dxa"/>
            <w:tcBorders>
              <w:top w:val="nil"/>
              <w:bottom w:val="nil"/>
              <w:right w:val="nil"/>
            </w:tcBorders>
            <w:noWrap/>
            <w:hideMark/>
          </w:tcPr>
          <w:p w:rsidR="00693B63" w:rsidRPr="001B3326" w:rsidRDefault="00693B63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3B63" w:rsidRPr="001B3326" w:rsidRDefault="00693B63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gridSpan w:val="3"/>
            <w:vMerge w:val="restart"/>
            <w:tcBorders>
              <w:top w:val="nil"/>
              <w:left w:val="nil"/>
              <w:right w:val="nil"/>
            </w:tcBorders>
            <w:hideMark/>
          </w:tcPr>
          <w:p w:rsidR="00693B63" w:rsidRPr="001B3326" w:rsidRDefault="00693B63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Приложение № 6</w:t>
            </w:r>
            <w:r w:rsidRPr="001B3326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сельского Совета депутатов от 27.12.2021 г, № 11-42-р </w:t>
            </w:r>
            <w:r w:rsidRPr="001B3326">
              <w:rPr>
                <w:rFonts w:ascii="Times New Roman" w:eastAsia="Times New Roman" w:hAnsi="Times New Roman" w:cs="Times New Roman"/>
              </w:rPr>
              <w:br/>
              <w:t xml:space="preserve">"О бюджете  муниципального образования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 на 2022 год и плановый период 2023-2024 годов"</w:t>
            </w:r>
          </w:p>
        </w:tc>
      </w:tr>
      <w:tr w:rsidR="001B3326" w:rsidRPr="001B3326" w:rsidTr="00693B63">
        <w:trPr>
          <w:trHeight w:val="1470"/>
        </w:trPr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0" w:type="dxa"/>
            <w:gridSpan w:val="3"/>
            <w:vMerge/>
            <w:tcBorders>
              <w:left w:val="nil"/>
              <w:bottom w:val="nil"/>
              <w:right w:val="nil"/>
            </w:tcBorders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1B3326" w:rsidRPr="001B3326" w:rsidTr="00693B63">
        <w:trPr>
          <w:trHeight w:val="1215"/>
        </w:trPr>
        <w:tc>
          <w:tcPr>
            <w:tcW w:w="10591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2022 год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1B332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1B3326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Раздел-подраздел 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Сумма на 2022 год 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39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B3326" w:rsidRPr="001B3326" w:rsidTr="001B3326">
        <w:trPr>
          <w:trHeight w:val="6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Обеспечение жизнедеятельности МО «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2241,5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Благоустройство населенных пунктов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Содержание уличного освещения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0110081130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Ремонт и содержание улично дорожной сети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2008,6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Субсидия на содержание дорог общего пользования местного значения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0120081021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89,5</w:t>
            </w:r>
          </w:p>
        </w:tc>
      </w:tr>
      <w:tr w:rsidR="001B3326" w:rsidRPr="001B3326" w:rsidTr="001B3326">
        <w:trPr>
          <w:trHeight w:val="94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3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1B3326" w:rsidRPr="001B3326" w:rsidTr="001B3326">
        <w:trPr>
          <w:trHeight w:val="105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76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6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3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3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01200S5090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1B3326" w:rsidRPr="001B3326" w:rsidTr="001B3326">
        <w:trPr>
          <w:trHeight w:val="7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3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43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6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465,5</w:t>
            </w:r>
          </w:p>
        </w:tc>
      </w:tr>
      <w:tr w:rsidR="001B3326" w:rsidRPr="001B3326" w:rsidTr="001B3326">
        <w:trPr>
          <w:trHeight w:val="34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Защита населения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1B3326" w:rsidRPr="001B3326" w:rsidTr="001B3326">
        <w:trPr>
          <w:trHeight w:val="10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6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58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3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1B3326" w:rsidRPr="001B3326" w:rsidTr="001B3326">
        <w:trPr>
          <w:trHeight w:val="73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90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профилактике терроризма и противодействие экстремизму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Противодействие коррупции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55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Мероприятия по развитию культуры и массового спорта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42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48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1B3326" w:rsidRPr="001B3326" w:rsidTr="001B3326">
        <w:trPr>
          <w:trHeight w:val="46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9000000000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6006,3</w:t>
            </w:r>
          </w:p>
        </w:tc>
      </w:tr>
      <w:tr w:rsidR="001B3326" w:rsidRPr="001B3326" w:rsidTr="001B3326">
        <w:trPr>
          <w:trHeight w:val="57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3628,7</w:t>
            </w:r>
          </w:p>
        </w:tc>
      </w:tr>
      <w:tr w:rsidR="001B3326" w:rsidRPr="001B3326" w:rsidTr="001B3326">
        <w:trPr>
          <w:trHeight w:val="103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Средства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15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9010027240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34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1B3326" w:rsidRPr="001B3326" w:rsidTr="001B3326">
        <w:trPr>
          <w:trHeight w:val="6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6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34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45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60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1B3326" w:rsidRPr="001B3326" w:rsidTr="001B3326">
        <w:trPr>
          <w:trHeight w:val="58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2165,8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60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73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1819,0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334,4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4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12,4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Заработная плата работников органов местного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саомоуправления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>, переведенных на новые системы оплаты труда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15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456,0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Взносы в Совет муниципальных образований края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1B3326" w:rsidRPr="001B3326" w:rsidTr="001B3326">
        <w:trPr>
          <w:trHeight w:val="3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Функционирование главы муниципального образования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1B332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1B332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46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оборона в рамках непрограммных расходов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B3326" w:rsidRPr="001B3326" w:rsidTr="001B3326">
        <w:trPr>
          <w:trHeight w:val="12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1B3326" w:rsidRPr="001B3326" w:rsidTr="001B3326">
        <w:trPr>
          <w:trHeight w:val="15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63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57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131,0</w:t>
            </w:r>
          </w:p>
        </w:tc>
      </w:tr>
      <w:tr w:rsidR="001B3326" w:rsidRPr="001B3326" w:rsidTr="001B3326">
        <w:trPr>
          <w:trHeight w:val="82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70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9,0</w:t>
            </w:r>
          </w:p>
        </w:tc>
      </w:tr>
      <w:tr w:rsidR="001B3326" w:rsidRPr="001B3326" w:rsidTr="001B3326">
        <w:trPr>
          <w:trHeight w:val="66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Пенсии за выслугу лет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7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90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452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81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70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1B332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1B3326" w:rsidRPr="001B3326" w:rsidTr="001B3326">
        <w:trPr>
          <w:trHeight w:val="315"/>
        </w:trPr>
        <w:tc>
          <w:tcPr>
            <w:tcW w:w="514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452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1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9" w:type="dxa"/>
            <w:hideMark/>
          </w:tcPr>
          <w:p w:rsidR="001B3326" w:rsidRPr="001B3326" w:rsidRDefault="001B3326" w:rsidP="001B332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326">
              <w:rPr>
                <w:rFonts w:ascii="Times New Roman" w:eastAsia="Times New Roman" w:hAnsi="Times New Roman" w:cs="Times New Roman"/>
                <w:b/>
                <w:bCs/>
              </w:rPr>
              <w:t>8272,8</w:t>
            </w:r>
          </w:p>
        </w:tc>
      </w:tr>
    </w:tbl>
    <w:p w:rsidR="001B3326" w:rsidRDefault="001B332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836"/>
        <w:gridCol w:w="1373"/>
        <w:gridCol w:w="889"/>
        <w:gridCol w:w="970"/>
        <w:gridCol w:w="1324"/>
        <w:gridCol w:w="1199"/>
      </w:tblGrid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9" w:type="dxa"/>
            <w:gridSpan w:val="4"/>
            <w:vMerge w:val="restart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Приложение № 7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сельского Совета депутатов от 27.12.2021 г, № 11-42-р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 xml:space="preserve">"О бюджете  муниципального образования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сельсовет на 2022 год и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>плановый период 2023-2024 годов"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9" w:type="dxa"/>
            <w:gridSpan w:val="4"/>
            <w:vMerge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9" w:type="dxa"/>
            <w:gridSpan w:val="4"/>
            <w:vMerge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9" w:type="dxa"/>
            <w:gridSpan w:val="4"/>
            <w:vMerge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9" w:type="dxa"/>
            <w:gridSpan w:val="4"/>
            <w:vMerge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1215"/>
        </w:trPr>
        <w:tc>
          <w:tcPr>
            <w:tcW w:w="11480" w:type="dxa"/>
            <w:gridSpan w:val="5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на плановый период 2023-2024 годы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94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Наименование муниципальных программ и наименование показателей бюджетной классификации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Вид расходов 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Раздел-подраздел 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Сумма на 2023 год 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Сумма на 2024 год 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13BE6" w:rsidRPr="00C13BE6" w:rsidTr="00C13BE6">
        <w:trPr>
          <w:trHeight w:val="78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Обеспечение жизнедеятельности МО «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сельсовет»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2163,5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2177,0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Благоустройство населенных пунктов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4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4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0500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0110081030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130,0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Ремонт и содержание улично дорожной сети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1930,6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1944,1</w:t>
            </w:r>
          </w:p>
        </w:tc>
      </w:tr>
      <w:tr w:rsidR="00C13BE6" w:rsidRPr="00C13BE6" w:rsidTr="00C13BE6">
        <w:trPr>
          <w:trHeight w:val="94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C13BE6" w:rsidRPr="00C13BE6" w:rsidTr="00C13BE6">
        <w:trPr>
          <w:trHeight w:val="4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C13BE6" w:rsidRPr="00C13BE6" w:rsidTr="00C13BE6">
        <w:trPr>
          <w:trHeight w:val="87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C13BE6" w:rsidRPr="00C13BE6" w:rsidTr="00C13BE6">
        <w:trPr>
          <w:trHeight w:val="84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0120075090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1436,2</w:t>
            </w:r>
          </w:p>
        </w:tc>
      </w:tr>
      <w:tr w:rsidR="00C13BE6" w:rsidRPr="00C13BE6" w:rsidTr="00C13BE6">
        <w:trPr>
          <w:trHeight w:val="64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012007S090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012007S090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C13BE6" w:rsidRPr="00C13BE6" w:rsidTr="00C13BE6">
        <w:trPr>
          <w:trHeight w:val="7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012007S090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C13BE6" w:rsidRPr="00C13BE6" w:rsidTr="00C13BE6">
        <w:trPr>
          <w:trHeight w:val="48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012007S090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012007S090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C13BE6" w:rsidRPr="00C13BE6" w:rsidTr="00C13BE6">
        <w:trPr>
          <w:trHeight w:val="7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Содержание автомобильных дорог общего назначения за счет акцизов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C13BE6" w:rsidRPr="00C13BE6" w:rsidTr="00C13BE6">
        <w:trPr>
          <w:trHeight w:val="7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C13BE6" w:rsidRPr="00C13BE6" w:rsidTr="00C13BE6">
        <w:trPr>
          <w:trHeight w:val="7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C13BE6" w:rsidRPr="00C13BE6" w:rsidTr="00C13BE6">
        <w:trPr>
          <w:trHeight w:val="4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0120081020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477,0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490,5</w:t>
            </w:r>
          </w:p>
        </w:tc>
      </w:tr>
      <w:tr w:rsidR="00C13BE6" w:rsidRPr="00C13BE6" w:rsidTr="00C13BE6">
        <w:trPr>
          <w:trHeight w:val="49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Защита населения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0130000000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102,9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102,9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4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103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6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4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01300S4120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C13BE6" w:rsidRPr="00C13BE6" w:rsidTr="00C13BE6">
        <w:trPr>
          <w:trHeight w:val="7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79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7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6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37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Противодействие коррупции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57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7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7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0130082060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0314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Мероприятия по развитию культуры и массового спорта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Премии и гранты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4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0200080810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1105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9000000000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4778,7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4501,2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Функционирование администрации в рамках непрограммных расходов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3120,2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3189,2</w:t>
            </w:r>
          </w:p>
        </w:tc>
      </w:tr>
      <w:tr w:rsidR="00C13BE6" w:rsidRPr="00C13BE6" w:rsidTr="00C13BE6">
        <w:trPr>
          <w:trHeight w:val="12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6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42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9010075140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6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Резервные фонды в рамках непрограммных расходов органов местного самоуправления органов местного самоуправления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13BE6" w:rsidRPr="00C13BE6" w:rsidTr="00C13BE6">
        <w:trPr>
          <w:trHeight w:val="6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13BE6" w:rsidRPr="00C13BE6" w:rsidTr="00C13BE6">
        <w:trPr>
          <w:trHeight w:val="28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9010080110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C13BE6" w:rsidRPr="00C13BE6" w:rsidTr="00C13BE6">
        <w:trPr>
          <w:trHeight w:val="6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1642,3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1666,3</w:t>
            </w:r>
          </w:p>
        </w:tc>
      </w:tr>
      <w:tr w:rsidR="00C13BE6" w:rsidRPr="00C13BE6" w:rsidTr="00C13BE6">
        <w:trPr>
          <w:trHeight w:val="6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1647,3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1677,3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1647,3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1677,3</w:t>
            </w:r>
          </w:p>
        </w:tc>
      </w:tr>
      <w:tr w:rsidR="00C13BE6" w:rsidRPr="00C13BE6" w:rsidTr="00C13BE6">
        <w:trPr>
          <w:trHeight w:val="7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1647,3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1677,3</w:t>
            </w:r>
          </w:p>
        </w:tc>
      </w:tr>
      <w:tr w:rsidR="00C13BE6" w:rsidRPr="00C13BE6" w:rsidTr="00C13BE6">
        <w:trPr>
          <w:trHeight w:val="78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13BE6" w:rsidRPr="00C13BE6" w:rsidTr="00C13BE6">
        <w:trPr>
          <w:trHeight w:val="4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13BE6" w:rsidRPr="00C13BE6" w:rsidTr="00C13BE6">
        <w:trPr>
          <w:trHeight w:val="78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9010080210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C13BE6" w:rsidRPr="00C13BE6" w:rsidTr="00C13BE6">
        <w:trPr>
          <w:trHeight w:val="34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Функционирование органов муниципального образования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9010080240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421,0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Взносы в Совет муниципальных образований края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13BE6" w:rsidRPr="00C13BE6" w:rsidTr="00C13BE6">
        <w:trPr>
          <w:trHeight w:val="3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C13BE6" w:rsidRPr="00C13BE6" w:rsidTr="00C13BE6">
        <w:trPr>
          <w:trHeight w:val="37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C13BE6" w:rsidRPr="00C13BE6" w:rsidTr="00C13BE6">
        <w:trPr>
          <w:trHeight w:val="3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C13BE6" w:rsidRPr="00C13BE6" w:rsidTr="00C13BE6">
        <w:trPr>
          <w:trHeight w:val="3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C13BE6" w:rsidRPr="00C13BE6" w:rsidTr="00C13BE6">
        <w:trPr>
          <w:trHeight w:val="39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C13BE6" w:rsidRPr="00C13BE6" w:rsidTr="00C13BE6">
        <w:trPr>
          <w:trHeight w:val="40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Функционирование главы муниципального образования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9010080250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941,0</w:t>
            </w:r>
          </w:p>
        </w:tc>
      </w:tr>
      <w:tr w:rsidR="00C13BE6" w:rsidRPr="00C13BE6" w:rsidTr="00C13BE6">
        <w:trPr>
          <w:trHeight w:val="7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Расходы по передаче полномочий в области юридической деятельности в рамках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13BE6" w:rsidRPr="00C13BE6" w:rsidTr="00C13BE6">
        <w:trPr>
          <w:trHeight w:val="4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13BE6" w:rsidRPr="00C13BE6" w:rsidTr="00C13BE6">
        <w:trPr>
          <w:trHeight w:val="4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9010083060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Расходы по передаче полномочий в области внешнего контроля в рамках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непрограммых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расходов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13BE6" w:rsidRPr="00C13BE6" w:rsidTr="00C13BE6">
        <w:trPr>
          <w:trHeight w:val="45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13BE6" w:rsidRPr="00C13BE6" w:rsidTr="00C13BE6">
        <w:trPr>
          <w:trHeight w:val="46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13BE6" w:rsidRPr="00C13BE6" w:rsidTr="00C13BE6">
        <w:trPr>
          <w:trHeight w:val="37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9010083070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оборона в рамках не программных расходов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9020000000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126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157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131,0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9020051180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94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Расходы по передаче полномочий в области обеспечения деятельности (оказания услуг) подведомственных учреждений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9080080620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1500,0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1300,0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Пенсии за выслугу лет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13BE6" w:rsidRPr="00C13BE6" w:rsidTr="00C13BE6">
        <w:trPr>
          <w:trHeight w:val="630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9100081100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Условно-утвержденные расходы</w:t>
            </w:r>
          </w:p>
        </w:tc>
        <w:tc>
          <w:tcPr>
            <w:tcW w:w="168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135,0</w:t>
            </w:r>
          </w:p>
        </w:tc>
        <w:tc>
          <w:tcPr>
            <w:tcW w:w="146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271,0</w:t>
            </w:r>
          </w:p>
        </w:tc>
      </w:tr>
      <w:tr w:rsidR="00C13BE6" w:rsidRPr="00C13BE6" w:rsidTr="00C13BE6">
        <w:trPr>
          <w:trHeight w:val="315"/>
        </w:trPr>
        <w:tc>
          <w:tcPr>
            <w:tcW w:w="60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68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8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7102,2</w:t>
            </w:r>
          </w:p>
        </w:tc>
        <w:tc>
          <w:tcPr>
            <w:tcW w:w="14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6974,2</w:t>
            </w:r>
          </w:p>
        </w:tc>
      </w:tr>
    </w:tbl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20"/>
        <w:gridCol w:w="5711"/>
        <w:gridCol w:w="3960"/>
      </w:tblGrid>
      <w:tr w:rsidR="00C13BE6" w:rsidRPr="00C13BE6" w:rsidTr="00C13BE6">
        <w:trPr>
          <w:trHeight w:val="2123"/>
        </w:trPr>
        <w:tc>
          <w:tcPr>
            <w:tcW w:w="10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Приложение № 7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сельского Совета депутатов </w:t>
            </w:r>
          </w:p>
          <w:p w:rsid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от 27.12.2021 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13BE6">
              <w:rPr>
                <w:rFonts w:ascii="Times New Roman" w:eastAsia="Times New Roman" w:hAnsi="Times New Roman" w:cs="Times New Roman"/>
              </w:rPr>
              <w:t xml:space="preserve"> № 11-42-р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 xml:space="preserve">"О бюджете  муниципального образования </w:t>
            </w:r>
          </w:p>
          <w:p w:rsidR="00C13BE6" w:rsidRP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сельсовет на 2022 год и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>плановый период 2023-2024 годов"</w:t>
            </w:r>
          </w:p>
        </w:tc>
      </w:tr>
      <w:tr w:rsidR="00C13BE6" w:rsidRPr="00C13BE6" w:rsidTr="00C13BE6">
        <w:trPr>
          <w:trHeight w:val="540"/>
        </w:trPr>
        <w:tc>
          <w:tcPr>
            <w:tcW w:w="105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3BE6" w:rsidRDefault="00C13BE6" w:rsidP="00C13BE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Межбюджетные трансферты бюджету муниципального района</w:t>
            </w:r>
          </w:p>
          <w:p w:rsidR="00C13BE6" w:rsidRDefault="00C13BE6" w:rsidP="00C13BE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из бюджета поселения  на осуществление части полномочий</w:t>
            </w:r>
          </w:p>
          <w:p w:rsidR="00C13BE6" w:rsidRPr="00C13BE6" w:rsidRDefault="00C13BE6" w:rsidP="00C13BE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по решению вопросов местного значения  в соответствии с заключенным соглашением на 2022 год</w:t>
            </w:r>
          </w:p>
        </w:tc>
      </w:tr>
      <w:tr w:rsidR="00C13BE6" w:rsidRPr="00C13BE6" w:rsidTr="00C13BE6">
        <w:trPr>
          <w:trHeight w:val="630"/>
        </w:trPr>
        <w:tc>
          <w:tcPr>
            <w:tcW w:w="6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  <w:p w:rsidR="00C13BE6" w:rsidRP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>уб.)</w:t>
            </w:r>
          </w:p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13BE6" w:rsidRPr="00C13BE6" w:rsidTr="00C13BE6">
        <w:trPr>
          <w:trHeight w:val="640"/>
        </w:trPr>
        <w:tc>
          <w:tcPr>
            <w:tcW w:w="920" w:type="dxa"/>
            <w:tcBorders>
              <w:top w:val="nil"/>
              <w:left w:val="nil"/>
              <w:right w:val="nil"/>
            </w:tcBorders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711" w:type="dxa"/>
            <w:tcBorders>
              <w:top w:val="nil"/>
              <w:left w:val="nil"/>
              <w:right w:val="nil"/>
            </w:tcBorders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0" w:type="dxa"/>
            <w:vMerge/>
            <w:tcBorders>
              <w:left w:val="nil"/>
              <w:right w:val="nil"/>
            </w:tcBorders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</w:p>
        </w:tc>
      </w:tr>
      <w:tr w:rsidR="00C13BE6" w:rsidRPr="00C13BE6" w:rsidTr="00C13BE6">
        <w:trPr>
          <w:trHeight w:val="630"/>
        </w:trPr>
        <w:tc>
          <w:tcPr>
            <w:tcW w:w="92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571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Наименование передаваемого полномочия</w:t>
            </w:r>
          </w:p>
        </w:tc>
        <w:tc>
          <w:tcPr>
            <w:tcW w:w="39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Сумма 2022год </w:t>
            </w:r>
          </w:p>
        </w:tc>
      </w:tr>
      <w:tr w:rsidR="00C13BE6" w:rsidRPr="00C13BE6" w:rsidTr="00C13BE6">
        <w:trPr>
          <w:trHeight w:val="315"/>
        </w:trPr>
        <w:tc>
          <w:tcPr>
            <w:tcW w:w="92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1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13BE6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9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2280,6</w:t>
            </w:r>
          </w:p>
        </w:tc>
      </w:tr>
      <w:tr w:rsidR="00C13BE6" w:rsidRPr="00C13BE6" w:rsidTr="00C13BE6">
        <w:trPr>
          <w:trHeight w:val="2565"/>
        </w:trPr>
        <w:tc>
          <w:tcPr>
            <w:tcW w:w="92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1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Юридическое обеспечение исполнения полномочий Поселения, юридическое сопровождение исполнения полномочий Поселения, представление интересов Поселения в судах общей юрисдикции и арбитражных судах по делам, рассматриваемым мировыми судьями, обжалование судебных актов, ведение судебной и претензионной работы по возврату средств в местный бюджет, анализ и обобщение результатов рассмотрения дел, подготовка предложений по улучшению деятельности Поселения, проведение правовой экспертизы правовых актов МО, разработка проектов НПА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 xml:space="preserve">, договоров, муниципальных контрактов, соглашений, оказание правовой консультативной помощи Поселению, подготовка заключений по спорным вопросам правового характера, 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возникающими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 xml:space="preserve"> в процессе деятельности Поселения.</w:t>
            </w:r>
          </w:p>
        </w:tc>
        <w:tc>
          <w:tcPr>
            <w:tcW w:w="39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C13BE6" w:rsidRPr="00C13BE6" w:rsidTr="00C13BE6">
        <w:trPr>
          <w:trHeight w:val="525"/>
        </w:trPr>
        <w:tc>
          <w:tcPr>
            <w:tcW w:w="92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1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Обеспечение исполнения внешнего муниципального контроля</w:t>
            </w:r>
          </w:p>
        </w:tc>
        <w:tc>
          <w:tcPr>
            <w:tcW w:w="39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13BE6" w:rsidRPr="00C13BE6" w:rsidTr="00C13BE6">
        <w:trPr>
          <w:trHeight w:val="525"/>
        </w:trPr>
        <w:tc>
          <w:tcPr>
            <w:tcW w:w="92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1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3960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2225,6</w:t>
            </w:r>
          </w:p>
        </w:tc>
      </w:tr>
    </w:tbl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61"/>
        <w:gridCol w:w="1462"/>
        <w:gridCol w:w="1369"/>
        <w:gridCol w:w="1499"/>
      </w:tblGrid>
      <w:tr w:rsidR="00C13BE6" w:rsidRPr="00C13BE6" w:rsidTr="00C13BE6">
        <w:trPr>
          <w:trHeight w:val="1900"/>
        </w:trPr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bookmarkStart w:id="3" w:name="RANGE!A1:D23"/>
            <w:bookmarkEnd w:id="3"/>
            <w:r w:rsidRPr="00C13BE6">
              <w:rPr>
                <w:rFonts w:ascii="Times New Roman" w:eastAsia="Times New Roman" w:hAnsi="Times New Roman" w:cs="Times New Roman"/>
              </w:rPr>
              <w:t>Приложение № 9</w:t>
            </w:r>
            <w:r w:rsidRPr="00C13BE6">
              <w:rPr>
                <w:rFonts w:ascii="Times New Roman" w:eastAsia="Times New Roman" w:hAnsi="Times New Roman" w:cs="Times New Roman"/>
              </w:rPr>
              <w:br/>
            </w:r>
            <w:bookmarkStart w:id="4" w:name="_GoBack"/>
            <w:bookmarkEnd w:id="4"/>
            <w:r w:rsidRPr="00C13BE6">
              <w:rPr>
                <w:rFonts w:ascii="Times New Roman" w:eastAsia="Times New Roman" w:hAnsi="Times New Roman" w:cs="Times New Roman"/>
              </w:rPr>
              <w:t xml:space="preserve">к  решению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сельского Совета депутатов</w:t>
            </w:r>
          </w:p>
          <w:p w:rsid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 27.12.2021 г </w:t>
            </w:r>
            <w:r w:rsidRPr="00C13BE6">
              <w:rPr>
                <w:rFonts w:ascii="Times New Roman" w:eastAsia="Times New Roman" w:hAnsi="Times New Roman" w:cs="Times New Roman"/>
              </w:rPr>
              <w:t xml:space="preserve">№ 11-42-р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>"О бюджете  муниципального образования</w:t>
            </w:r>
          </w:p>
          <w:p w:rsidR="00C13BE6" w:rsidRP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3BE6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C13BE6">
              <w:rPr>
                <w:rFonts w:ascii="Times New Roman" w:eastAsia="Times New Roman" w:hAnsi="Times New Roman" w:cs="Times New Roman"/>
              </w:rPr>
              <w:t xml:space="preserve"> сельсовет на 2022 год и </w:t>
            </w:r>
            <w:r w:rsidRPr="00C13BE6">
              <w:rPr>
                <w:rFonts w:ascii="Times New Roman" w:eastAsia="Times New Roman" w:hAnsi="Times New Roman" w:cs="Times New Roman"/>
              </w:rPr>
              <w:br/>
              <w:t>плановый период 2023-2024 годов"</w:t>
            </w:r>
          </w:p>
        </w:tc>
      </w:tr>
      <w:tr w:rsidR="00C13BE6" w:rsidRPr="00C13BE6" w:rsidTr="00C13BE6">
        <w:trPr>
          <w:trHeight w:val="1062"/>
        </w:trPr>
        <w:tc>
          <w:tcPr>
            <w:tcW w:w="1059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13BE6" w:rsidRDefault="00C13BE6" w:rsidP="00C13BE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Перечень межбюджетных трансфертов из районного бюджета, 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учитываемые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 xml:space="preserve"> в местном бюджете </w:t>
            </w:r>
          </w:p>
          <w:p w:rsidR="00C13BE6" w:rsidRPr="00C13BE6" w:rsidRDefault="00C13BE6" w:rsidP="00C13BE6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 2022  год и плановый период 2023-2024 годов</w:t>
            </w:r>
          </w:p>
        </w:tc>
      </w:tr>
      <w:tr w:rsidR="00C13BE6" w:rsidRPr="00C13BE6" w:rsidTr="00C13BE6">
        <w:trPr>
          <w:trHeight w:val="315"/>
        </w:trPr>
        <w:tc>
          <w:tcPr>
            <w:tcW w:w="10591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C13BE6" w:rsidRPr="00C13BE6" w:rsidRDefault="00C13BE6" w:rsidP="00C13BE6">
            <w:pPr>
              <w:suppressAutoHyphens/>
              <w:jc w:val="right"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  <w:tr w:rsidR="00C13BE6" w:rsidRPr="00C13BE6" w:rsidTr="00C13BE6">
        <w:trPr>
          <w:trHeight w:val="37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Наименование межбюджетного трансферта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 xml:space="preserve">2024 год </w:t>
            </w:r>
          </w:p>
        </w:tc>
      </w:tr>
      <w:tr w:rsidR="00C13BE6" w:rsidRPr="00C13BE6" w:rsidTr="00C13BE6">
        <w:trPr>
          <w:trHeight w:val="375"/>
        </w:trPr>
        <w:tc>
          <w:tcPr>
            <w:tcW w:w="6261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2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13BE6" w:rsidRPr="00C13BE6" w:rsidTr="00C13BE6">
        <w:trPr>
          <w:trHeight w:val="70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за счет сре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>дств кр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>аевого бюджета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1 629,2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1 303,4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1 303,4</w:t>
            </w:r>
          </w:p>
        </w:tc>
      </w:tr>
      <w:tr w:rsidR="00C13BE6" w:rsidRPr="00C13BE6" w:rsidTr="00C13BE6">
        <w:trPr>
          <w:trHeight w:val="70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1 455,1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1 164,1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1 164,1</w:t>
            </w:r>
          </w:p>
        </w:tc>
      </w:tr>
      <w:tr w:rsidR="00C13BE6" w:rsidRPr="00C13BE6" w:rsidTr="00C13BE6">
        <w:trPr>
          <w:trHeight w:val="70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C13BE6">
        <w:trPr>
          <w:trHeight w:val="97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Дотация на поддержку мер по обеспечению сбалансированности бюджета за счет средств районного бюджета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2 436,7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1 949,4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1 949,4</w:t>
            </w:r>
          </w:p>
        </w:tc>
      </w:tr>
      <w:tr w:rsidR="00C13BE6" w:rsidRPr="00C13BE6" w:rsidTr="00C13BE6">
        <w:trPr>
          <w:trHeight w:val="97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Субвенция бюджетам поселений на выполнение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6,4</w:t>
            </w:r>
          </w:p>
        </w:tc>
      </w:tr>
      <w:tr w:rsidR="00C13BE6" w:rsidRPr="00C13BE6" w:rsidTr="00C13BE6">
        <w:trPr>
          <w:trHeight w:val="97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96,8</w:t>
            </w:r>
          </w:p>
        </w:tc>
      </w:tr>
      <w:tr w:rsidR="00C13BE6" w:rsidRPr="00C13BE6" w:rsidTr="00C13BE6">
        <w:trPr>
          <w:trHeight w:val="97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Субсидия на капитальный ремонт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1 436,2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1 436,2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1 436,2</w:t>
            </w:r>
          </w:p>
        </w:tc>
      </w:tr>
      <w:tr w:rsidR="00C13BE6" w:rsidRPr="00C13BE6" w:rsidTr="00C13BE6">
        <w:trPr>
          <w:trHeight w:val="690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Субсидия на</w:t>
            </w:r>
            <w:proofErr w:type="gramStart"/>
            <w:r w:rsidRPr="00C13BE6"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 w:rsidRPr="00C13BE6">
              <w:rPr>
                <w:rFonts w:ascii="Times New Roman" w:eastAsia="Times New Roman" w:hAnsi="Times New Roman" w:cs="Times New Roman"/>
              </w:rPr>
              <w:t>ные межбюджетные трансферты на формирование муниципальных дорожных фондов</w:t>
            </w:r>
          </w:p>
        </w:tc>
        <w:tc>
          <w:tcPr>
            <w:tcW w:w="1462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89,5</w:t>
            </w:r>
          </w:p>
        </w:tc>
        <w:tc>
          <w:tcPr>
            <w:tcW w:w="136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99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3BE6" w:rsidRPr="00C13BE6" w:rsidTr="00C13BE6">
        <w:trPr>
          <w:trHeight w:val="405"/>
        </w:trPr>
        <w:tc>
          <w:tcPr>
            <w:tcW w:w="6261" w:type="dxa"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462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7 289,9</w:t>
            </w:r>
          </w:p>
        </w:tc>
        <w:tc>
          <w:tcPr>
            <w:tcW w:w="1369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6 102,8</w:t>
            </w:r>
          </w:p>
        </w:tc>
        <w:tc>
          <w:tcPr>
            <w:tcW w:w="1499" w:type="dxa"/>
            <w:noWrap/>
            <w:hideMark/>
          </w:tcPr>
          <w:p w:rsidR="00C13BE6" w:rsidRPr="00C13BE6" w:rsidRDefault="00C13BE6" w:rsidP="00C13BE6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C13BE6">
              <w:rPr>
                <w:rFonts w:ascii="Times New Roman" w:eastAsia="Times New Roman" w:hAnsi="Times New Roman" w:cs="Times New Roman"/>
              </w:rPr>
              <w:t>5 956,3</w:t>
            </w:r>
          </w:p>
        </w:tc>
      </w:tr>
    </w:tbl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592" w:type="dxa"/>
        <w:tblInd w:w="93" w:type="dxa"/>
        <w:tblLayout w:type="fixed"/>
        <w:tblLook w:val="0000"/>
      </w:tblPr>
      <w:tblGrid>
        <w:gridCol w:w="724"/>
        <w:gridCol w:w="316"/>
        <w:gridCol w:w="4362"/>
        <w:gridCol w:w="1559"/>
        <w:gridCol w:w="556"/>
        <w:gridCol w:w="776"/>
        <w:gridCol w:w="86"/>
        <w:gridCol w:w="1417"/>
        <w:gridCol w:w="560"/>
        <w:gridCol w:w="90"/>
        <w:gridCol w:w="146"/>
      </w:tblGrid>
      <w:tr w:rsidR="00B1782C" w:rsidRPr="00C13BE6" w:rsidTr="00DC5DE4">
        <w:trPr>
          <w:gridAfter w:val="1"/>
          <w:wAfter w:w="146" w:type="dxa"/>
          <w:trHeight w:val="37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82C" w:rsidRPr="00C13BE6" w:rsidRDefault="00B1782C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82C" w:rsidRPr="00B1782C" w:rsidRDefault="00B1782C" w:rsidP="00B1782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Приложение № 10</w:t>
            </w:r>
            <w:r w:rsidRPr="00B1782C">
              <w:rPr>
                <w:rFonts w:ascii="Times New Roman" w:eastAsia="Times New Roman" w:hAnsi="Times New Roman" w:cs="Times New Roman"/>
              </w:rPr>
              <w:br/>
              <w:t xml:space="preserve">к  решению </w:t>
            </w:r>
            <w:proofErr w:type="spellStart"/>
            <w:r w:rsidRPr="00B1782C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B1782C">
              <w:rPr>
                <w:rFonts w:ascii="Times New Roman" w:eastAsia="Times New Roman" w:hAnsi="Times New Roman" w:cs="Times New Roman"/>
              </w:rPr>
              <w:t xml:space="preserve"> сельского Совета депутатов</w:t>
            </w:r>
          </w:p>
        </w:tc>
      </w:tr>
      <w:tr w:rsidR="00B1782C" w:rsidRPr="00C13BE6" w:rsidTr="00DC5DE4">
        <w:trPr>
          <w:gridAfter w:val="1"/>
          <w:wAfter w:w="146" w:type="dxa"/>
          <w:trHeight w:val="37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782C" w:rsidRPr="00C13BE6" w:rsidRDefault="00B1782C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782C" w:rsidRPr="00B1782C" w:rsidRDefault="00B1782C" w:rsidP="00B1782C">
            <w:pPr>
              <w:suppressAutoHyphens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 xml:space="preserve">от 27.12.2021 г № 11-42-р </w:t>
            </w:r>
            <w:r w:rsidRPr="00B1782C">
              <w:rPr>
                <w:rFonts w:ascii="Times New Roman" w:eastAsia="Times New Roman" w:hAnsi="Times New Roman" w:cs="Times New Roman"/>
              </w:rPr>
              <w:br/>
              <w:t>"О бюджете  муниципального образования</w:t>
            </w:r>
          </w:p>
        </w:tc>
      </w:tr>
      <w:tr w:rsidR="00C13BE6" w:rsidRPr="00C13BE6" w:rsidTr="00B1782C">
        <w:trPr>
          <w:gridAfter w:val="1"/>
          <w:wAfter w:w="146" w:type="dxa"/>
          <w:trHeight w:val="37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C13BE6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B1782C" w:rsidP="00B1782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782C">
              <w:rPr>
                <w:rFonts w:ascii="Times New Roman" w:eastAsia="Times New Roman" w:hAnsi="Times New Roman" w:cs="Times New Roman"/>
              </w:rPr>
              <w:t>Имисский</w:t>
            </w:r>
            <w:proofErr w:type="spellEnd"/>
            <w:r w:rsidRPr="00B1782C">
              <w:rPr>
                <w:rFonts w:ascii="Times New Roman" w:eastAsia="Times New Roman" w:hAnsi="Times New Roman" w:cs="Times New Roman"/>
              </w:rPr>
              <w:t xml:space="preserve"> сельсовет на 2022 год и </w:t>
            </w:r>
            <w:r w:rsidRPr="00B1782C">
              <w:rPr>
                <w:rFonts w:ascii="Times New Roman" w:eastAsia="Times New Roman" w:hAnsi="Times New Roman" w:cs="Times New Roman"/>
              </w:rPr>
              <w:br/>
              <w:t>плановый период 2023-2024 годов"</w:t>
            </w:r>
          </w:p>
        </w:tc>
      </w:tr>
      <w:tr w:rsidR="00C13BE6" w:rsidRPr="00C13BE6" w:rsidTr="00B1782C">
        <w:trPr>
          <w:trHeight w:val="37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C13BE6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C13BE6" w:rsidRDefault="00C13BE6" w:rsidP="00C13B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3BE6" w:rsidRPr="00C13BE6" w:rsidTr="00B1782C">
        <w:trPr>
          <w:gridAfter w:val="3"/>
          <w:wAfter w:w="796" w:type="dxa"/>
          <w:trHeight w:val="357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 xml:space="preserve">Программа муниципальных внутренних заимствований </w:t>
            </w:r>
            <w:proofErr w:type="spellStart"/>
            <w:r w:rsidRPr="00B1782C">
              <w:rPr>
                <w:rFonts w:ascii="Times New Roman" w:eastAsia="Times New Roman" w:hAnsi="Times New Roman" w:cs="Times New Roman"/>
              </w:rPr>
              <w:t>Имисского</w:t>
            </w:r>
            <w:proofErr w:type="spellEnd"/>
            <w:r w:rsidRPr="00B178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13BE6" w:rsidRPr="00C13BE6" w:rsidTr="00B1782C">
        <w:trPr>
          <w:gridAfter w:val="3"/>
          <w:wAfter w:w="796" w:type="dxa"/>
          <w:trHeight w:val="37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B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сельсовета  на 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2</w:t>
            </w:r>
            <w:r w:rsidRPr="00B1782C">
              <w:rPr>
                <w:rFonts w:ascii="Times New Roman" w:eastAsia="Times New Roman" w:hAnsi="Times New Roman" w:cs="Times New Roman"/>
              </w:rPr>
              <w:t xml:space="preserve"> год и плановый период 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3</w:t>
            </w:r>
            <w:r w:rsidRPr="00B1782C">
              <w:rPr>
                <w:rFonts w:ascii="Times New Roman" w:eastAsia="Times New Roman" w:hAnsi="Times New Roman" w:cs="Times New Roman"/>
              </w:rPr>
              <w:t>-202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4</w:t>
            </w:r>
            <w:r w:rsidRPr="00B1782C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</w:tr>
      <w:tr w:rsidR="00C13BE6" w:rsidRPr="00C13BE6" w:rsidTr="00B1782C">
        <w:trPr>
          <w:gridAfter w:val="3"/>
          <w:wAfter w:w="796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C13BE6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3BE6" w:rsidRPr="00C13BE6" w:rsidTr="00B1782C">
        <w:trPr>
          <w:gridAfter w:val="3"/>
          <w:wAfter w:w="796" w:type="dxa"/>
          <w:trHeight w:val="7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1782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1782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Внутренние заимствования (привлечение/погашение)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B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2</w:t>
            </w:r>
            <w:r w:rsidRPr="00B178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B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3</w:t>
            </w:r>
            <w:r w:rsidRPr="00B178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B1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202</w:t>
            </w:r>
            <w:r w:rsidR="00B1782C" w:rsidRPr="00B1782C">
              <w:rPr>
                <w:rFonts w:ascii="Times New Roman" w:eastAsia="Times New Roman" w:hAnsi="Times New Roman" w:cs="Times New Roman"/>
              </w:rPr>
              <w:t>4</w:t>
            </w:r>
            <w:r w:rsidRPr="00B1782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C13BE6" w:rsidRPr="00C13BE6" w:rsidTr="00B1782C">
        <w:trPr>
          <w:gridAfter w:val="3"/>
          <w:wAfter w:w="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получение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возврат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предоставление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Общий объём заимствований, направляемых на покрытие дефицита местного бюджета и погашение муниципальных долговых обязательств (кроме долговых обязательств по муниципальным гарантиям)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получение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13BE6" w:rsidRPr="00C13BE6" w:rsidTr="00B1782C">
        <w:trPr>
          <w:gridAfter w:val="3"/>
          <w:wAfter w:w="796" w:type="dxa"/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3BE6" w:rsidRPr="00B1782C" w:rsidRDefault="00C13BE6" w:rsidP="00C13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погашение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3BE6" w:rsidRPr="00B1782C" w:rsidRDefault="00C13BE6" w:rsidP="00C1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782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C13BE6" w:rsidRDefault="00C13BE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C13BE6" w:rsidSect="007519FF">
      <w:pgSz w:w="11906" w:h="16838"/>
      <w:pgMar w:top="340" w:right="397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9A8"/>
    <w:rsid w:val="001B3326"/>
    <w:rsid w:val="00223C52"/>
    <w:rsid w:val="005E7907"/>
    <w:rsid w:val="00693B63"/>
    <w:rsid w:val="007519FF"/>
    <w:rsid w:val="009339A8"/>
    <w:rsid w:val="00B1782C"/>
    <w:rsid w:val="00C1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19</Pages>
  <Words>10065</Words>
  <Characters>57376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2021-12-22T04:57:00Z</dcterms:created>
  <dcterms:modified xsi:type="dcterms:W3CDTF">2022-01-27T04:00:00Z</dcterms:modified>
</cp:coreProperties>
</file>